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E4" w:rsidRPr="00CA43E4" w:rsidRDefault="00CA43E4" w:rsidP="00CA43E4">
      <w:pPr>
        <w:spacing w:after="120" w:line="240" w:lineRule="auto"/>
        <w:outlineLvl w:val="1"/>
        <w:rPr>
          <w:rFonts w:ascii="Times New Roman" w:eastAsia="Times New Roman" w:hAnsi="Times New Roman" w:cs="Times New Roman"/>
          <w:b/>
          <w:bCs/>
          <w:sz w:val="36"/>
          <w:szCs w:val="36"/>
          <w:lang/>
        </w:rPr>
      </w:pPr>
      <w:r w:rsidRPr="00CA43E4">
        <w:rPr>
          <w:rFonts w:ascii="Times New Roman" w:eastAsia="Times New Roman" w:hAnsi="Times New Roman" w:cs="Times New Roman"/>
          <w:b/>
          <w:bCs/>
          <w:sz w:val="36"/>
          <w:szCs w:val="36"/>
          <w:lang/>
        </w:rPr>
        <w:t xml:space="preserve">Pusey, Edward </w:t>
      </w:r>
      <w:proofErr w:type="spellStart"/>
      <w:r w:rsidRPr="00CA43E4">
        <w:rPr>
          <w:rFonts w:ascii="Times New Roman" w:eastAsia="Times New Roman" w:hAnsi="Times New Roman" w:cs="Times New Roman"/>
          <w:b/>
          <w:bCs/>
          <w:sz w:val="36"/>
          <w:szCs w:val="36"/>
          <w:lang/>
        </w:rPr>
        <w:t>Bouverie</w:t>
      </w:r>
      <w:proofErr w:type="spellEnd"/>
    </w:p>
    <w:p w:rsidR="00CA43E4" w:rsidRPr="00CA43E4" w:rsidRDefault="00CA43E4" w:rsidP="00CA43E4">
      <w:pPr>
        <w:spacing w:before="100" w:beforeAutospacing="1" w:after="100" w:afterAutospacing="1" w:line="240" w:lineRule="auto"/>
        <w:rPr>
          <w:rFonts w:ascii="Times New Roman" w:eastAsia="Times New Roman" w:hAnsi="Times New Roman" w:cs="Times New Roman"/>
          <w:sz w:val="24"/>
          <w:szCs w:val="24"/>
          <w:lang/>
        </w:rPr>
      </w:pPr>
      <w:r w:rsidRPr="00CA43E4">
        <w:rPr>
          <w:rFonts w:ascii="Times New Roman" w:eastAsia="Times New Roman" w:hAnsi="Times New Roman" w:cs="Times New Roman"/>
          <w:b/>
          <w:bCs/>
          <w:sz w:val="24"/>
          <w:szCs w:val="24"/>
          <w:lang/>
        </w:rPr>
        <w:t>PUSEY, EDWARD BOUVERIE:</w:t>
      </w:r>
      <w:r w:rsidRPr="00CA43E4">
        <w:rPr>
          <w:rFonts w:ascii="Times New Roman" w:eastAsia="Times New Roman" w:hAnsi="Times New Roman" w:cs="Times New Roman"/>
          <w:sz w:val="24"/>
          <w:szCs w:val="24"/>
          <w:lang/>
        </w:rPr>
        <w:t xml:space="preserve"> Church of England </w:t>
      </w:r>
      <w:proofErr w:type="spellStart"/>
      <w:r w:rsidRPr="00CA43E4">
        <w:rPr>
          <w:rFonts w:ascii="Times New Roman" w:eastAsia="Times New Roman" w:hAnsi="Times New Roman" w:cs="Times New Roman"/>
          <w:sz w:val="24"/>
          <w:szCs w:val="24"/>
          <w:lang/>
        </w:rPr>
        <w:t>tractarian</w:t>
      </w:r>
      <w:proofErr w:type="spellEnd"/>
      <w:r w:rsidRPr="00CA43E4">
        <w:rPr>
          <w:rFonts w:ascii="Times New Roman" w:eastAsia="Times New Roman" w:hAnsi="Times New Roman" w:cs="Times New Roman"/>
          <w:sz w:val="24"/>
          <w:szCs w:val="24"/>
          <w:lang/>
        </w:rPr>
        <w:t xml:space="preserve">; b. at Pusey (12 m. </w:t>
      </w:r>
      <w:proofErr w:type="spellStart"/>
      <w:proofErr w:type="gramStart"/>
      <w:r w:rsidRPr="00CA43E4">
        <w:rPr>
          <w:rFonts w:ascii="Times New Roman" w:eastAsia="Times New Roman" w:hAnsi="Times New Roman" w:cs="Times New Roman"/>
          <w:sz w:val="24"/>
          <w:szCs w:val="24"/>
          <w:lang/>
        </w:rPr>
        <w:t>s.w</w:t>
      </w:r>
      <w:proofErr w:type="spellEnd"/>
      <w:proofErr w:type="gramEnd"/>
      <w:r w:rsidRPr="00CA43E4">
        <w:rPr>
          <w:rFonts w:ascii="Times New Roman" w:eastAsia="Times New Roman" w:hAnsi="Times New Roman" w:cs="Times New Roman"/>
          <w:sz w:val="24"/>
          <w:szCs w:val="24"/>
          <w:lang/>
        </w:rPr>
        <w:t xml:space="preserve">. of Oxford) Aug. 22, 1800; d. at Ascot Priory, Oxford, Sept. 16, 1882. He was the second son of the first Viscount </w:t>
      </w:r>
      <w:proofErr w:type="spellStart"/>
      <w:r w:rsidRPr="00CA43E4">
        <w:rPr>
          <w:rFonts w:ascii="Times New Roman" w:eastAsia="Times New Roman" w:hAnsi="Times New Roman" w:cs="Times New Roman"/>
          <w:sz w:val="24"/>
          <w:szCs w:val="24"/>
          <w:lang/>
        </w:rPr>
        <w:t>Folkestone</w:t>
      </w:r>
      <w:proofErr w:type="spellEnd"/>
      <w:r w:rsidRPr="00CA43E4">
        <w:rPr>
          <w:rFonts w:ascii="Times New Roman" w:eastAsia="Times New Roman" w:hAnsi="Times New Roman" w:cs="Times New Roman"/>
          <w:sz w:val="24"/>
          <w:szCs w:val="24"/>
          <w:lang/>
        </w:rPr>
        <w:t xml:space="preserve">, Jacob </w:t>
      </w:r>
      <w:proofErr w:type="spellStart"/>
      <w:r w:rsidRPr="00CA43E4">
        <w:rPr>
          <w:rFonts w:ascii="Times New Roman" w:eastAsia="Times New Roman" w:hAnsi="Times New Roman" w:cs="Times New Roman"/>
          <w:sz w:val="24"/>
          <w:szCs w:val="24"/>
          <w:lang/>
        </w:rPr>
        <w:t>Bouverie</w:t>
      </w:r>
      <w:proofErr w:type="spellEnd"/>
      <w:r w:rsidRPr="00CA43E4">
        <w:rPr>
          <w:rFonts w:ascii="Times New Roman" w:eastAsia="Times New Roman" w:hAnsi="Times New Roman" w:cs="Times New Roman"/>
          <w:sz w:val="24"/>
          <w:szCs w:val="24"/>
          <w:lang/>
        </w:rPr>
        <w:t xml:space="preserve">, descending from the old Huguenot family of </w:t>
      </w:r>
      <w:proofErr w:type="spellStart"/>
      <w:r w:rsidRPr="00CA43E4">
        <w:rPr>
          <w:rFonts w:ascii="Times New Roman" w:eastAsia="Times New Roman" w:hAnsi="Times New Roman" w:cs="Times New Roman"/>
          <w:sz w:val="24"/>
          <w:szCs w:val="24"/>
          <w:lang/>
        </w:rPr>
        <w:t>Bouverie</w:t>
      </w:r>
      <w:proofErr w:type="spellEnd"/>
      <w:r w:rsidRPr="00CA43E4">
        <w:rPr>
          <w:rFonts w:ascii="Times New Roman" w:eastAsia="Times New Roman" w:hAnsi="Times New Roman" w:cs="Times New Roman"/>
          <w:sz w:val="24"/>
          <w:szCs w:val="24"/>
          <w:lang/>
        </w:rPr>
        <w:t xml:space="preserve">. At the age of eighteen he entered Christ Church College, Oxford, and in 1824 was elected fellow at Oriel College, where he became intimately acquainted with J. H. Newman and John Keble. He studied oriental languages, but after a prolonged stay in Germany (1825–27, in </w:t>
      </w:r>
      <w:proofErr w:type="spellStart"/>
      <w:r w:rsidRPr="00CA43E4">
        <w:rPr>
          <w:rFonts w:ascii="Times New Roman" w:eastAsia="Times New Roman" w:hAnsi="Times New Roman" w:cs="Times New Roman"/>
          <w:sz w:val="24"/>
          <w:szCs w:val="24"/>
          <w:lang/>
        </w:rPr>
        <w:t>Göttingen</w:t>
      </w:r>
      <w:proofErr w:type="spellEnd"/>
      <w:r w:rsidRPr="00CA43E4">
        <w:rPr>
          <w:rFonts w:ascii="Times New Roman" w:eastAsia="Times New Roman" w:hAnsi="Times New Roman" w:cs="Times New Roman"/>
          <w:sz w:val="24"/>
          <w:szCs w:val="24"/>
          <w:lang/>
        </w:rPr>
        <w:t xml:space="preserve">, Berlin, and Bonn) devoted himself to the study of German theology. By his work on this subject, </w:t>
      </w:r>
      <w:r w:rsidRPr="00CA43E4">
        <w:rPr>
          <w:rFonts w:ascii="Times New Roman" w:eastAsia="Times New Roman" w:hAnsi="Times New Roman" w:cs="Times New Roman"/>
          <w:i/>
          <w:iCs/>
          <w:sz w:val="24"/>
          <w:szCs w:val="24"/>
          <w:lang/>
        </w:rPr>
        <w:t>Historical Enquiry into the Probable Causes of the Rationalistic Character . . . Predominant in the Theology of Germany</w:t>
      </w:r>
      <w:r w:rsidRPr="00CA43E4">
        <w:rPr>
          <w:rFonts w:ascii="Times New Roman" w:eastAsia="Times New Roman" w:hAnsi="Times New Roman" w:cs="Times New Roman"/>
          <w:sz w:val="24"/>
          <w:szCs w:val="24"/>
          <w:lang/>
        </w:rPr>
        <w:t xml:space="preserve"> (London, 1828–30) he attracted the attention of academic circles, so that the duke of Wellington in 1829 made him </w:t>
      </w:r>
      <w:proofErr w:type="spellStart"/>
      <w:r w:rsidRPr="00CA43E4">
        <w:rPr>
          <w:rFonts w:ascii="Times New Roman" w:eastAsia="Times New Roman" w:hAnsi="Times New Roman" w:cs="Times New Roman"/>
          <w:sz w:val="24"/>
          <w:szCs w:val="24"/>
          <w:lang/>
        </w:rPr>
        <w:t>regius</w:t>
      </w:r>
      <w:proofErr w:type="spellEnd"/>
      <w:r w:rsidRPr="00CA43E4">
        <w:rPr>
          <w:rFonts w:ascii="Times New Roman" w:eastAsia="Times New Roman" w:hAnsi="Times New Roman" w:cs="Times New Roman"/>
          <w:sz w:val="24"/>
          <w:szCs w:val="24"/>
          <w:lang/>
        </w:rPr>
        <w:t xml:space="preserve"> professor of Hebrew and canon of Christ Church.</w:t>
      </w:r>
    </w:p>
    <w:p w:rsidR="00CA43E4" w:rsidRPr="00CA43E4" w:rsidRDefault="00CA43E4" w:rsidP="00CA43E4">
      <w:pPr>
        <w:spacing w:before="100" w:beforeAutospacing="1" w:after="100" w:afterAutospacing="1" w:line="240" w:lineRule="auto"/>
        <w:rPr>
          <w:rFonts w:ascii="Times New Roman" w:eastAsia="Times New Roman" w:hAnsi="Times New Roman" w:cs="Times New Roman"/>
          <w:sz w:val="24"/>
          <w:szCs w:val="24"/>
          <w:lang/>
        </w:rPr>
      </w:pPr>
      <w:r w:rsidRPr="00CA43E4">
        <w:rPr>
          <w:rFonts w:ascii="Times New Roman" w:eastAsia="Times New Roman" w:hAnsi="Times New Roman" w:cs="Times New Roman"/>
          <w:sz w:val="24"/>
          <w:szCs w:val="24"/>
          <w:lang/>
        </w:rPr>
        <w:t xml:space="preserve">In 1833 the </w:t>
      </w:r>
      <w:r w:rsidRPr="00CA43E4">
        <w:rPr>
          <w:rFonts w:ascii="Times New Roman" w:eastAsia="Times New Roman" w:hAnsi="Times New Roman" w:cs="Times New Roman"/>
          <w:i/>
          <w:iCs/>
          <w:sz w:val="24"/>
          <w:szCs w:val="24"/>
          <w:lang/>
        </w:rPr>
        <w:t>Tracts for the Times</w:t>
      </w:r>
      <w:r w:rsidRPr="00CA43E4">
        <w:rPr>
          <w:rFonts w:ascii="Times New Roman" w:eastAsia="Times New Roman" w:hAnsi="Times New Roman" w:cs="Times New Roman"/>
          <w:sz w:val="24"/>
          <w:szCs w:val="24"/>
          <w:lang/>
        </w:rPr>
        <w:t xml:space="preserve"> had begun to appear and caused a great sensation. Although Pusey was in contact with the circle from which they proceeded, it was only with his treatise on baptism, </w:t>
      </w:r>
      <w:r w:rsidRPr="00CA43E4">
        <w:rPr>
          <w:rFonts w:ascii="Times New Roman" w:eastAsia="Times New Roman" w:hAnsi="Times New Roman" w:cs="Times New Roman"/>
          <w:i/>
          <w:iCs/>
          <w:sz w:val="24"/>
          <w:szCs w:val="24"/>
          <w:lang/>
        </w:rPr>
        <w:t>Scriptural Views of Holy Baptism</w:t>
      </w:r>
      <w:r w:rsidRPr="00CA43E4">
        <w:rPr>
          <w:rFonts w:ascii="Times New Roman" w:eastAsia="Times New Roman" w:hAnsi="Times New Roman" w:cs="Times New Roman"/>
          <w:sz w:val="24"/>
          <w:szCs w:val="24"/>
          <w:lang/>
        </w:rPr>
        <w:t xml:space="preserve"> (nos. 67–69 of </w:t>
      </w:r>
      <w:r w:rsidRPr="00CA43E4">
        <w:rPr>
          <w:rFonts w:ascii="Times New Roman" w:eastAsia="Times New Roman" w:hAnsi="Times New Roman" w:cs="Times New Roman"/>
          <w:i/>
          <w:iCs/>
          <w:sz w:val="24"/>
          <w:szCs w:val="24"/>
          <w:lang/>
        </w:rPr>
        <w:t>Tracts for the Times</w:t>
      </w:r>
      <w:r w:rsidRPr="00CA43E4">
        <w:rPr>
          <w:rFonts w:ascii="Times New Roman" w:eastAsia="Times New Roman" w:hAnsi="Times New Roman" w:cs="Times New Roman"/>
          <w:sz w:val="24"/>
          <w:szCs w:val="24"/>
          <w:lang/>
        </w:rPr>
        <w:t xml:space="preserve">, 1835) and the publication of the </w:t>
      </w:r>
      <w:r w:rsidRPr="00CA43E4">
        <w:rPr>
          <w:rFonts w:ascii="Times New Roman" w:eastAsia="Times New Roman" w:hAnsi="Times New Roman" w:cs="Times New Roman"/>
          <w:i/>
          <w:iCs/>
          <w:sz w:val="24"/>
          <w:szCs w:val="24"/>
          <w:lang/>
        </w:rPr>
        <w:t>Library of the Fathers</w:t>
      </w:r>
      <w:r w:rsidRPr="00CA43E4">
        <w:rPr>
          <w:rFonts w:ascii="Times New Roman" w:eastAsia="Times New Roman" w:hAnsi="Times New Roman" w:cs="Times New Roman"/>
          <w:sz w:val="24"/>
          <w:szCs w:val="24"/>
          <w:lang/>
        </w:rPr>
        <w:t xml:space="preserve"> (see below) that he, at the end of 1834, joined the forces of High-</w:t>
      </w:r>
      <w:proofErr w:type="spellStart"/>
      <w:r w:rsidRPr="00CA43E4">
        <w:rPr>
          <w:rFonts w:ascii="Times New Roman" w:eastAsia="Times New Roman" w:hAnsi="Times New Roman" w:cs="Times New Roman"/>
          <w:sz w:val="24"/>
          <w:szCs w:val="24"/>
          <w:lang/>
        </w:rPr>
        <w:t>churchism</w:t>
      </w:r>
      <w:proofErr w:type="spellEnd"/>
      <w:r w:rsidRPr="00CA43E4">
        <w:rPr>
          <w:rFonts w:ascii="Times New Roman" w:eastAsia="Times New Roman" w:hAnsi="Times New Roman" w:cs="Times New Roman"/>
          <w:sz w:val="24"/>
          <w:szCs w:val="24"/>
          <w:lang/>
        </w:rPr>
        <w:t xml:space="preserve"> which after that formed the purpose and task of his life. He exercised a great and decisive influence upon the character and events of the movement, but was not responsible for the foundation of the new party. He threw himself into the study of the Fathers and of those "Anglicans" who in the seventeenth century had not succeeded in realizing their idea that the "old church," i.e., the medieval Church, in spite of Roman deformations, had been the only true expression of the Church of Christ, and from these studies Pusey's ideas of the Church received a decisive influence. In this spirit he, together with Keble and Newman, edited, after 1836, the </w:t>
      </w:r>
      <w:r w:rsidRPr="00CA43E4">
        <w:rPr>
          <w:rFonts w:ascii="Times New Roman" w:eastAsia="Times New Roman" w:hAnsi="Times New Roman" w:cs="Times New Roman"/>
          <w:i/>
          <w:iCs/>
          <w:sz w:val="24"/>
          <w:szCs w:val="24"/>
          <w:lang/>
        </w:rPr>
        <w:t>Oxford Library of the Fathers of the Holy Catholic Church, Anterior to the Division of the East and West</w:t>
      </w:r>
      <w:r w:rsidRPr="00CA43E4">
        <w:rPr>
          <w:rFonts w:ascii="Times New Roman" w:eastAsia="Times New Roman" w:hAnsi="Times New Roman" w:cs="Times New Roman"/>
          <w:sz w:val="24"/>
          <w:szCs w:val="24"/>
          <w:lang/>
        </w:rPr>
        <w:t xml:space="preserve"> (50 vols., Oxford, 1838–85). In a lecture on the Book of Common Prayer he asserted, long before Newman, that many "genuinely Catholic" doctrines might be upheld even with the acknowledgment of the Thirty-nine Articles. In 1843 Pusey, in a sermon, stated views which, deviating from the conception of the sacrament current since the Reformation, closely approached the medieval sacrificial idea of the real presence. In consequence he was deposed from his office as preacher. The news of his deposition created such a sensation that Pusey advanced to a leading position in the struggle of the church, and the movement was characterized by the name of Puseyism.</w:t>
      </w:r>
    </w:p>
    <w:p w:rsidR="00CA43E4" w:rsidRPr="00CA43E4" w:rsidRDefault="00CA43E4" w:rsidP="00CA43E4">
      <w:pPr>
        <w:spacing w:before="100" w:beforeAutospacing="1" w:after="100" w:afterAutospacing="1" w:line="240" w:lineRule="auto"/>
        <w:rPr>
          <w:rFonts w:ascii="Times New Roman" w:eastAsia="Times New Roman" w:hAnsi="Times New Roman" w:cs="Times New Roman"/>
          <w:sz w:val="24"/>
          <w:szCs w:val="24"/>
          <w:lang/>
        </w:rPr>
      </w:pPr>
      <w:r w:rsidRPr="00CA43E4">
        <w:rPr>
          <w:rFonts w:ascii="Times New Roman" w:eastAsia="Times New Roman" w:hAnsi="Times New Roman" w:cs="Times New Roman"/>
          <w:sz w:val="24"/>
          <w:szCs w:val="24"/>
          <w:lang/>
        </w:rPr>
        <w:t xml:space="preserve">As in his sermons, so in his theological investigations Pusey was held in check by a forced conservatism that strove to awaken forgotten ideals. Although he possessed great gifts as a polemical writer, he was not a profound theologian. His thought. </w:t>
      </w:r>
      <w:proofErr w:type="gramStart"/>
      <w:r w:rsidRPr="00CA43E4">
        <w:rPr>
          <w:rFonts w:ascii="Times New Roman" w:eastAsia="Times New Roman" w:hAnsi="Times New Roman" w:cs="Times New Roman"/>
          <w:sz w:val="24"/>
          <w:szCs w:val="24"/>
          <w:lang/>
        </w:rPr>
        <w:t>lacked</w:t>
      </w:r>
      <w:proofErr w:type="gramEnd"/>
      <w:r w:rsidRPr="00CA43E4">
        <w:rPr>
          <w:rFonts w:ascii="Times New Roman" w:eastAsia="Times New Roman" w:hAnsi="Times New Roman" w:cs="Times New Roman"/>
          <w:sz w:val="24"/>
          <w:szCs w:val="24"/>
          <w:lang/>
        </w:rPr>
        <w:t xml:space="preserve"> consistence and keenness, but in the knowledge of ecclesiastical antiquities he excelled most of his contemporaries. In directing his eye to the past, he could not comprehend the modern spirit. His theology found adherents only until the sixties. Some of his disciples turned away from him, others went beyond him. His efforts at harmony with Rome and the renewal of the medieval conception of the sacrament, coinciding with the awakening of the medieval ideal of art upon English soil (</w:t>
      </w:r>
      <w:proofErr w:type="spellStart"/>
      <w:r w:rsidRPr="00CA43E4">
        <w:rPr>
          <w:rFonts w:ascii="Times New Roman" w:eastAsia="Times New Roman" w:hAnsi="Times New Roman" w:cs="Times New Roman"/>
          <w:sz w:val="24"/>
          <w:szCs w:val="24"/>
          <w:lang/>
        </w:rPr>
        <w:t>Preraffaelites</w:t>
      </w:r>
      <w:proofErr w:type="spellEnd"/>
      <w:r w:rsidRPr="00CA43E4">
        <w:rPr>
          <w:rFonts w:ascii="Times New Roman" w:eastAsia="Times New Roman" w:hAnsi="Times New Roman" w:cs="Times New Roman"/>
          <w:sz w:val="24"/>
          <w:szCs w:val="24"/>
          <w:lang/>
        </w:rPr>
        <w:t xml:space="preserve">), led in natural consequence to a renewal of medieval ceremonies in worship. Although Pusey himself, ignoring the import of his own thoughts, vigorously protested </w:t>
      </w:r>
      <w:r w:rsidRPr="00CA43E4">
        <w:rPr>
          <w:rFonts w:ascii="Times New Roman" w:eastAsia="Times New Roman" w:hAnsi="Times New Roman" w:cs="Times New Roman"/>
          <w:sz w:val="24"/>
          <w:szCs w:val="24"/>
          <w:lang/>
        </w:rPr>
        <w:lastRenderedPageBreak/>
        <w:t>against such a renewal, he could not hinder the renewal of ceremonies from becoming the shibboleth of his party, or Puseyism from being lost in ritualism.</w:t>
      </w:r>
    </w:p>
    <w:p w:rsidR="00CA43E4" w:rsidRPr="00CA43E4" w:rsidRDefault="00CA43E4" w:rsidP="00CA43E4">
      <w:pPr>
        <w:spacing w:before="100" w:beforeAutospacing="1" w:after="100" w:afterAutospacing="1" w:line="240" w:lineRule="auto"/>
        <w:rPr>
          <w:rFonts w:ascii="Times New Roman" w:eastAsia="Times New Roman" w:hAnsi="Times New Roman" w:cs="Times New Roman"/>
          <w:sz w:val="24"/>
          <w:szCs w:val="24"/>
          <w:lang/>
        </w:rPr>
      </w:pPr>
      <w:r w:rsidRPr="00CA43E4">
        <w:rPr>
          <w:rFonts w:ascii="Times New Roman" w:eastAsia="Times New Roman" w:hAnsi="Times New Roman" w:cs="Times New Roman"/>
          <w:sz w:val="24"/>
          <w:szCs w:val="24"/>
          <w:lang/>
        </w:rPr>
        <w:t xml:space="preserve">The fundamental traits of his theology Pusey </w:t>
      </w:r>
      <w:proofErr w:type="gramStart"/>
      <w:r w:rsidRPr="00CA43E4">
        <w:rPr>
          <w:rFonts w:ascii="Times New Roman" w:eastAsia="Times New Roman" w:hAnsi="Times New Roman" w:cs="Times New Roman"/>
          <w:sz w:val="24"/>
          <w:szCs w:val="24"/>
          <w:lang/>
        </w:rPr>
        <w:t>laid</w:t>
      </w:r>
      <w:proofErr w:type="gramEnd"/>
      <w:r w:rsidRPr="00CA43E4">
        <w:rPr>
          <w:rFonts w:ascii="Times New Roman" w:eastAsia="Times New Roman" w:hAnsi="Times New Roman" w:cs="Times New Roman"/>
          <w:sz w:val="24"/>
          <w:szCs w:val="24"/>
          <w:lang/>
        </w:rPr>
        <w:t xml:space="preserve"> down in a number of works which in almost every instance were destined to serve the ecclesiastical questions of the day. The most important are: </w:t>
      </w:r>
      <w:r w:rsidRPr="00CA43E4">
        <w:rPr>
          <w:rFonts w:ascii="Times New Roman" w:eastAsia="Times New Roman" w:hAnsi="Times New Roman" w:cs="Times New Roman"/>
          <w:i/>
          <w:iCs/>
          <w:sz w:val="24"/>
          <w:szCs w:val="24"/>
          <w:lang/>
        </w:rPr>
        <w:t>The Doctrine of the Real Presence, as contained in the Fathers</w:t>
      </w:r>
      <w:r w:rsidRPr="00CA43E4">
        <w:rPr>
          <w:rFonts w:ascii="Times New Roman" w:eastAsia="Times New Roman" w:hAnsi="Times New Roman" w:cs="Times New Roman"/>
          <w:sz w:val="24"/>
          <w:szCs w:val="24"/>
          <w:lang/>
        </w:rPr>
        <w:t xml:space="preserve"> (Oxford, 1855); </w:t>
      </w:r>
      <w:r w:rsidRPr="00CA43E4">
        <w:rPr>
          <w:rFonts w:ascii="Times New Roman" w:eastAsia="Times New Roman" w:hAnsi="Times New Roman" w:cs="Times New Roman"/>
          <w:i/>
          <w:iCs/>
          <w:sz w:val="24"/>
          <w:szCs w:val="24"/>
          <w:lang/>
        </w:rPr>
        <w:t>The Real Presence . . . the Doctrine of the English Church</w:t>
      </w:r>
      <w:r w:rsidRPr="00CA43E4">
        <w:rPr>
          <w:rFonts w:ascii="Times New Roman" w:eastAsia="Times New Roman" w:hAnsi="Times New Roman" w:cs="Times New Roman"/>
          <w:sz w:val="24"/>
          <w:szCs w:val="24"/>
          <w:lang/>
        </w:rPr>
        <w:t xml:space="preserve"> (1857); </w:t>
      </w:r>
      <w:r w:rsidRPr="00CA43E4">
        <w:rPr>
          <w:rFonts w:ascii="Times New Roman" w:eastAsia="Times New Roman" w:hAnsi="Times New Roman" w:cs="Times New Roman"/>
          <w:i/>
          <w:iCs/>
          <w:sz w:val="24"/>
          <w:szCs w:val="24"/>
          <w:lang/>
        </w:rPr>
        <w:t>The Minor Prophets, with Commentary</w:t>
      </w:r>
      <w:r w:rsidRPr="00CA43E4">
        <w:rPr>
          <w:rFonts w:ascii="Times New Roman" w:eastAsia="Times New Roman" w:hAnsi="Times New Roman" w:cs="Times New Roman"/>
          <w:sz w:val="24"/>
          <w:szCs w:val="24"/>
          <w:lang/>
        </w:rPr>
        <w:t xml:space="preserve"> (5 parts, 1860; reissue, London, 1906 </w:t>
      </w:r>
      <w:proofErr w:type="spellStart"/>
      <w:r w:rsidRPr="00CA43E4">
        <w:rPr>
          <w:rFonts w:ascii="Times New Roman" w:eastAsia="Times New Roman" w:hAnsi="Times New Roman" w:cs="Times New Roman"/>
          <w:sz w:val="24"/>
          <w:szCs w:val="24"/>
          <w:lang/>
        </w:rPr>
        <w:t>sqq</w:t>
      </w:r>
      <w:proofErr w:type="spellEnd"/>
      <w:r w:rsidRPr="00CA43E4">
        <w:rPr>
          <w:rFonts w:ascii="Times New Roman" w:eastAsia="Times New Roman" w:hAnsi="Times New Roman" w:cs="Times New Roman"/>
          <w:sz w:val="24"/>
          <w:szCs w:val="24"/>
          <w:lang/>
        </w:rPr>
        <w:t xml:space="preserve">.). In the work called </w:t>
      </w:r>
      <w:proofErr w:type="spellStart"/>
      <w:r w:rsidRPr="00CA43E4">
        <w:rPr>
          <w:rFonts w:ascii="Times New Roman" w:eastAsia="Times New Roman" w:hAnsi="Times New Roman" w:cs="Times New Roman"/>
          <w:i/>
          <w:iCs/>
          <w:sz w:val="24"/>
          <w:szCs w:val="24"/>
          <w:lang/>
        </w:rPr>
        <w:t>Eirenicon</w:t>
      </w:r>
      <w:proofErr w:type="spellEnd"/>
      <w:r w:rsidRPr="00CA43E4">
        <w:rPr>
          <w:rFonts w:ascii="Times New Roman" w:eastAsia="Times New Roman" w:hAnsi="Times New Roman" w:cs="Times New Roman"/>
          <w:sz w:val="24"/>
          <w:szCs w:val="24"/>
          <w:lang/>
        </w:rPr>
        <w:t xml:space="preserve"> (vol. </w:t>
      </w:r>
      <w:proofErr w:type="spellStart"/>
      <w:r w:rsidRPr="00CA43E4">
        <w:rPr>
          <w:rFonts w:ascii="Times New Roman" w:eastAsia="Times New Roman" w:hAnsi="Times New Roman" w:cs="Times New Roman"/>
          <w:sz w:val="24"/>
          <w:szCs w:val="24"/>
          <w:lang/>
        </w:rPr>
        <w:t>i</w:t>
      </w:r>
      <w:proofErr w:type="spellEnd"/>
      <w:r w:rsidRPr="00CA43E4">
        <w:rPr>
          <w:rFonts w:ascii="Times New Roman" w:eastAsia="Times New Roman" w:hAnsi="Times New Roman" w:cs="Times New Roman"/>
          <w:sz w:val="24"/>
          <w:szCs w:val="24"/>
          <w:lang/>
        </w:rPr>
        <w:t xml:space="preserve">., 1865) </w:t>
      </w:r>
      <w:r w:rsidRPr="00CA43E4">
        <w:rPr>
          <w:rFonts w:ascii="Times New Roman" w:eastAsia="Times New Roman" w:hAnsi="Times New Roman" w:cs="Times New Roman"/>
          <w:i/>
          <w:iCs/>
          <w:sz w:val="24"/>
          <w:szCs w:val="24"/>
          <w:lang/>
        </w:rPr>
        <w:t>The Church of England a Portion of Christ's One Holy Catholic Church, and a Means of Restoring Visible Unity</w:t>
      </w:r>
      <w:r w:rsidRPr="00CA43E4">
        <w:rPr>
          <w:rFonts w:ascii="Times New Roman" w:eastAsia="Times New Roman" w:hAnsi="Times New Roman" w:cs="Times New Roman"/>
          <w:sz w:val="24"/>
          <w:szCs w:val="24"/>
          <w:lang/>
        </w:rPr>
        <w:t xml:space="preserve">, he tried to show the ecclesiastical theological foundations of a union with Rome on the basis of the Council of Trent. In the second volume of the same work, </w:t>
      </w:r>
      <w:r w:rsidRPr="00CA43E4">
        <w:rPr>
          <w:rFonts w:ascii="Times New Roman" w:eastAsia="Times New Roman" w:hAnsi="Times New Roman" w:cs="Times New Roman"/>
          <w:i/>
          <w:iCs/>
          <w:sz w:val="24"/>
          <w:szCs w:val="24"/>
          <w:lang/>
        </w:rPr>
        <w:t xml:space="preserve">The Reverential Love Due to the Ever-blessed </w:t>
      </w:r>
      <w:proofErr w:type="spellStart"/>
      <w:r w:rsidRPr="00CA43E4">
        <w:rPr>
          <w:rFonts w:ascii="Times New Roman" w:eastAsia="Times New Roman" w:hAnsi="Times New Roman" w:cs="Times New Roman"/>
          <w:i/>
          <w:iCs/>
          <w:sz w:val="24"/>
          <w:szCs w:val="24"/>
          <w:lang/>
        </w:rPr>
        <w:t>Theotokos</w:t>
      </w:r>
      <w:proofErr w:type="spellEnd"/>
      <w:r w:rsidRPr="00CA43E4">
        <w:rPr>
          <w:rFonts w:ascii="Times New Roman" w:eastAsia="Times New Roman" w:hAnsi="Times New Roman" w:cs="Times New Roman"/>
          <w:i/>
          <w:iCs/>
          <w:sz w:val="24"/>
          <w:szCs w:val="24"/>
          <w:lang/>
        </w:rPr>
        <w:t xml:space="preserve"> and the Doctrine of her Immaculate Conception</w:t>
      </w:r>
      <w:r w:rsidRPr="00CA43E4">
        <w:rPr>
          <w:rFonts w:ascii="Times New Roman" w:eastAsia="Times New Roman" w:hAnsi="Times New Roman" w:cs="Times New Roman"/>
          <w:sz w:val="24"/>
          <w:szCs w:val="24"/>
          <w:lang/>
        </w:rPr>
        <w:t xml:space="preserve"> (1869), and in the third volume, </w:t>
      </w:r>
      <w:r w:rsidRPr="00CA43E4">
        <w:rPr>
          <w:rFonts w:ascii="Times New Roman" w:eastAsia="Times New Roman" w:hAnsi="Times New Roman" w:cs="Times New Roman"/>
          <w:i/>
          <w:iCs/>
          <w:sz w:val="24"/>
          <w:szCs w:val="24"/>
          <w:lang/>
        </w:rPr>
        <w:t>Is Healthful Reunion Possible?</w:t>
      </w:r>
      <w:r w:rsidRPr="00CA43E4">
        <w:rPr>
          <w:rFonts w:ascii="Times New Roman" w:eastAsia="Times New Roman" w:hAnsi="Times New Roman" w:cs="Times New Roman"/>
          <w:sz w:val="24"/>
          <w:szCs w:val="24"/>
          <w:lang/>
        </w:rPr>
        <w:t xml:space="preserve"> (1870), both addressed to J. H. Newman in the form of letters, he pursued the idea of union still further and tried to remove the difficulties between England and Rome as being of little account by the assumption of the </w:t>
      </w:r>
      <w:proofErr w:type="spellStart"/>
      <w:r w:rsidRPr="00CA43E4">
        <w:rPr>
          <w:rFonts w:ascii="Times New Roman" w:eastAsia="Times New Roman" w:hAnsi="Times New Roman" w:cs="Times New Roman"/>
          <w:sz w:val="24"/>
          <w:szCs w:val="24"/>
          <w:lang/>
        </w:rPr>
        <w:t>Gallican</w:t>
      </w:r>
      <w:proofErr w:type="spellEnd"/>
      <w:r w:rsidRPr="00CA43E4">
        <w:rPr>
          <w:rFonts w:ascii="Times New Roman" w:eastAsia="Times New Roman" w:hAnsi="Times New Roman" w:cs="Times New Roman"/>
          <w:sz w:val="24"/>
          <w:szCs w:val="24"/>
          <w:lang/>
        </w:rPr>
        <w:t xml:space="preserve"> principles of Bossuet. The third </w:t>
      </w:r>
      <w:proofErr w:type="spellStart"/>
      <w:r w:rsidRPr="00CA43E4">
        <w:rPr>
          <w:rFonts w:ascii="Times New Roman" w:eastAsia="Times New Roman" w:hAnsi="Times New Roman" w:cs="Times New Roman"/>
          <w:i/>
          <w:iCs/>
          <w:sz w:val="24"/>
          <w:szCs w:val="24"/>
          <w:lang/>
        </w:rPr>
        <w:t>Eirenicon</w:t>
      </w:r>
      <w:proofErr w:type="spellEnd"/>
      <w:r w:rsidRPr="00CA43E4">
        <w:rPr>
          <w:rFonts w:ascii="Times New Roman" w:eastAsia="Times New Roman" w:hAnsi="Times New Roman" w:cs="Times New Roman"/>
          <w:sz w:val="24"/>
          <w:szCs w:val="24"/>
          <w:lang/>
        </w:rPr>
        <w:t xml:space="preserve"> Pusey sent to the majority of bishops assembled at the Vatican, but it was rejected, and the subsequent triumph of </w:t>
      </w:r>
      <w:proofErr w:type="spellStart"/>
      <w:r w:rsidRPr="00CA43E4">
        <w:rPr>
          <w:rFonts w:ascii="Times New Roman" w:eastAsia="Times New Roman" w:hAnsi="Times New Roman" w:cs="Times New Roman"/>
          <w:sz w:val="24"/>
          <w:szCs w:val="24"/>
          <w:lang/>
        </w:rPr>
        <w:t>Ultramontanism</w:t>
      </w:r>
      <w:proofErr w:type="spellEnd"/>
      <w:r w:rsidRPr="00CA43E4">
        <w:rPr>
          <w:rFonts w:ascii="Times New Roman" w:eastAsia="Times New Roman" w:hAnsi="Times New Roman" w:cs="Times New Roman"/>
          <w:sz w:val="24"/>
          <w:szCs w:val="24"/>
          <w:lang/>
        </w:rPr>
        <w:t xml:space="preserve"> (1870) completely destroyed his hopes of reconciliation. Besides several collections of </w:t>
      </w:r>
      <w:proofErr w:type="spellStart"/>
      <w:r w:rsidRPr="00CA43E4">
        <w:rPr>
          <w:rFonts w:ascii="Times New Roman" w:eastAsia="Times New Roman" w:hAnsi="Times New Roman" w:cs="Times New Roman"/>
          <w:sz w:val="24"/>
          <w:szCs w:val="24"/>
          <w:lang/>
        </w:rPr>
        <w:t>sermons,</w:t>
      </w:r>
      <w:r w:rsidRPr="00CA43E4">
        <w:rPr>
          <w:rFonts w:ascii="Times New Roman" w:eastAsia="Times New Roman" w:hAnsi="Times New Roman" w:cs="Times New Roman"/>
          <w:i/>
          <w:iCs/>
          <w:sz w:val="24"/>
          <w:szCs w:val="24"/>
          <w:lang/>
        </w:rPr>
        <w:t>Parochial</w:t>
      </w:r>
      <w:proofErr w:type="spellEnd"/>
      <w:r w:rsidRPr="00CA43E4">
        <w:rPr>
          <w:rFonts w:ascii="Times New Roman" w:eastAsia="Times New Roman" w:hAnsi="Times New Roman" w:cs="Times New Roman"/>
          <w:i/>
          <w:iCs/>
          <w:sz w:val="24"/>
          <w:szCs w:val="24"/>
          <w:lang/>
        </w:rPr>
        <w:t xml:space="preserve"> Sermons</w:t>
      </w:r>
      <w:r w:rsidRPr="00CA43E4">
        <w:rPr>
          <w:rFonts w:ascii="Times New Roman" w:eastAsia="Times New Roman" w:hAnsi="Times New Roman" w:cs="Times New Roman"/>
          <w:sz w:val="24"/>
          <w:szCs w:val="24"/>
          <w:lang/>
        </w:rPr>
        <w:t xml:space="preserve"> (4 vols., 1832–50); </w:t>
      </w:r>
      <w:r w:rsidRPr="00CA43E4">
        <w:rPr>
          <w:rFonts w:ascii="Times New Roman" w:eastAsia="Times New Roman" w:hAnsi="Times New Roman" w:cs="Times New Roman"/>
          <w:i/>
          <w:iCs/>
          <w:sz w:val="24"/>
          <w:szCs w:val="24"/>
          <w:lang/>
        </w:rPr>
        <w:t>University Sermons</w:t>
      </w:r>
      <w:r w:rsidRPr="00CA43E4">
        <w:rPr>
          <w:rFonts w:ascii="Times New Roman" w:eastAsia="Times New Roman" w:hAnsi="Times New Roman" w:cs="Times New Roman"/>
          <w:sz w:val="24"/>
          <w:szCs w:val="24"/>
          <w:lang/>
        </w:rPr>
        <w:t xml:space="preserve"> (3 vols., 1864–79); and </w:t>
      </w:r>
      <w:r w:rsidRPr="00CA43E4">
        <w:rPr>
          <w:rFonts w:ascii="Times New Roman" w:eastAsia="Times New Roman" w:hAnsi="Times New Roman" w:cs="Times New Roman"/>
          <w:i/>
          <w:iCs/>
          <w:sz w:val="24"/>
          <w:szCs w:val="24"/>
          <w:lang/>
        </w:rPr>
        <w:t>Lenten Sermons</w:t>
      </w:r>
      <w:r w:rsidRPr="00CA43E4">
        <w:rPr>
          <w:rFonts w:ascii="Times New Roman" w:eastAsia="Times New Roman" w:hAnsi="Times New Roman" w:cs="Times New Roman"/>
          <w:sz w:val="24"/>
          <w:szCs w:val="24"/>
          <w:lang/>
        </w:rPr>
        <w:t xml:space="preserve"> (1858, 1874), and other works, Pusey </w:t>
      </w:r>
      <w:proofErr w:type="spellStart"/>
      <w:r w:rsidRPr="00CA43E4">
        <w:rPr>
          <w:rFonts w:ascii="Times New Roman" w:eastAsia="Times New Roman" w:hAnsi="Times New Roman" w:cs="Times New Roman"/>
          <w:sz w:val="24"/>
          <w:szCs w:val="24"/>
          <w:lang/>
        </w:rPr>
        <w:t>published:</w:t>
      </w:r>
      <w:r w:rsidRPr="00CA43E4">
        <w:rPr>
          <w:rFonts w:ascii="Times New Roman" w:eastAsia="Times New Roman" w:hAnsi="Times New Roman" w:cs="Times New Roman"/>
          <w:i/>
          <w:iCs/>
          <w:sz w:val="24"/>
          <w:szCs w:val="24"/>
          <w:lang/>
        </w:rPr>
        <w:t>Marriage</w:t>
      </w:r>
      <w:proofErr w:type="spellEnd"/>
      <w:r w:rsidRPr="00CA43E4">
        <w:rPr>
          <w:rFonts w:ascii="Times New Roman" w:eastAsia="Times New Roman" w:hAnsi="Times New Roman" w:cs="Times New Roman"/>
          <w:i/>
          <w:iCs/>
          <w:sz w:val="24"/>
          <w:szCs w:val="24"/>
          <w:lang/>
        </w:rPr>
        <w:t xml:space="preserve"> with a Deceased Wife's Sister</w:t>
      </w:r>
      <w:r w:rsidRPr="00CA43E4">
        <w:rPr>
          <w:rFonts w:ascii="Times New Roman" w:eastAsia="Times New Roman" w:hAnsi="Times New Roman" w:cs="Times New Roman"/>
          <w:sz w:val="24"/>
          <w:szCs w:val="24"/>
          <w:lang/>
        </w:rPr>
        <w:t xml:space="preserve"> and </w:t>
      </w:r>
      <w:r w:rsidRPr="00CA43E4">
        <w:rPr>
          <w:rFonts w:ascii="Times New Roman" w:eastAsia="Times New Roman" w:hAnsi="Times New Roman" w:cs="Times New Roman"/>
          <w:i/>
          <w:iCs/>
          <w:sz w:val="24"/>
          <w:szCs w:val="24"/>
          <w:lang/>
        </w:rPr>
        <w:t>God's Prohibition of the Marriage with a Deceased Wife's Sister</w:t>
      </w:r>
      <w:r w:rsidRPr="00CA43E4">
        <w:rPr>
          <w:rFonts w:ascii="Times New Roman" w:eastAsia="Times New Roman" w:hAnsi="Times New Roman" w:cs="Times New Roman"/>
          <w:sz w:val="24"/>
          <w:szCs w:val="24"/>
          <w:lang/>
        </w:rPr>
        <w:t xml:space="preserve"> (1849, 1860); </w:t>
      </w:r>
      <w:r w:rsidRPr="00CA43E4">
        <w:rPr>
          <w:rFonts w:ascii="Times New Roman" w:eastAsia="Times New Roman" w:hAnsi="Times New Roman" w:cs="Times New Roman"/>
          <w:i/>
          <w:iCs/>
          <w:sz w:val="24"/>
          <w:szCs w:val="24"/>
          <w:lang/>
        </w:rPr>
        <w:t>The Royal Supremacy not an Arbitrary Authority</w:t>
      </w:r>
      <w:r w:rsidRPr="00CA43E4">
        <w:rPr>
          <w:rFonts w:ascii="Times New Roman" w:eastAsia="Times New Roman" w:hAnsi="Times New Roman" w:cs="Times New Roman"/>
          <w:sz w:val="24"/>
          <w:szCs w:val="24"/>
          <w:lang/>
        </w:rPr>
        <w:t xml:space="preserve"> (1850); </w:t>
      </w:r>
      <w:r w:rsidRPr="00CA43E4">
        <w:rPr>
          <w:rFonts w:ascii="Times New Roman" w:eastAsia="Times New Roman" w:hAnsi="Times New Roman" w:cs="Times New Roman"/>
          <w:i/>
          <w:iCs/>
          <w:sz w:val="24"/>
          <w:szCs w:val="24"/>
          <w:lang/>
        </w:rPr>
        <w:t>The Councils of the Church</w:t>
      </w:r>
      <w:r w:rsidRPr="00CA43E4">
        <w:rPr>
          <w:rFonts w:ascii="Times New Roman" w:eastAsia="Times New Roman" w:hAnsi="Times New Roman" w:cs="Times New Roman"/>
          <w:sz w:val="24"/>
          <w:szCs w:val="24"/>
          <w:lang/>
        </w:rPr>
        <w:t xml:space="preserve"> (1857);</w:t>
      </w:r>
      <w:r w:rsidRPr="00CA43E4">
        <w:rPr>
          <w:rFonts w:ascii="Times New Roman" w:eastAsia="Times New Roman" w:hAnsi="Times New Roman" w:cs="Times New Roman"/>
          <w:i/>
          <w:iCs/>
          <w:sz w:val="24"/>
          <w:szCs w:val="24"/>
          <w:lang/>
        </w:rPr>
        <w:t>Daniel the Prophet</w:t>
      </w:r>
      <w:r w:rsidRPr="00CA43E4">
        <w:rPr>
          <w:rFonts w:ascii="Times New Roman" w:eastAsia="Times New Roman" w:hAnsi="Times New Roman" w:cs="Times New Roman"/>
          <w:sz w:val="24"/>
          <w:szCs w:val="24"/>
          <w:lang/>
        </w:rPr>
        <w:t xml:space="preserve"> (1864); </w:t>
      </w:r>
      <w:r w:rsidRPr="00CA43E4">
        <w:rPr>
          <w:rFonts w:ascii="Times New Roman" w:eastAsia="Times New Roman" w:hAnsi="Times New Roman" w:cs="Times New Roman"/>
          <w:i/>
          <w:iCs/>
          <w:sz w:val="24"/>
          <w:szCs w:val="24"/>
          <w:lang/>
        </w:rPr>
        <w:t>On the Clause: "And the Son</w:t>
      </w:r>
      <w:r w:rsidRPr="00CA43E4">
        <w:rPr>
          <w:rFonts w:ascii="Times New Roman" w:eastAsia="Times New Roman" w:hAnsi="Times New Roman" w:cs="Times New Roman"/>
          <w:sz w:val="24"/>
          <w:szCs w:val="24"/>
          <w:lang/>
        </w:rPr>
        <w:t xml:space="preserve"> " (1876);</w:t>
      </w:r>
      <w:r w:rsidRPr="00CA43E4">
        <w:rPr>
          <w:rFonts w:ascii="Times New Roman" w:eastAsia="Times New Roman" w:hAnsi="Times New Roman" w:cs="Times New Roman"/>
          <w:i/>
          <w:iCs/>
          <w:sz w:val="24"/>
          <w:szCs w:val="24"/>
          <w:lang/>
        </w:rPr>
        <w:t>Habitual Confession not Discouraged</w:t>
      </w:r>
      <w:r w:rsidRPr="00CA43E4">
        <w:rPr>
          <w:rFonts w:ascii="Times New Roman" w:eastAsia="Times New Roman" w:hAnsi="Times New Roman" w:cs="Times New Roman"/>
          <w:sz w:val="24"/>
          <w:szCs w:val="24"/>
          <w:lang/>
        </w:rPr>
        <w:t xml:space="preserve"> (1878); </w:t>
      </w:r>
      <w:r w:rsidRPr="00CA43E4">
        <w:rPr>
          <w:rFonts w:ascii="Times New Roman" w:eastAsia="Times New Roman" w:hAnsi="Times New Roman" w:cs="Times New Roman"/>
          <w:i/>
          <w:iCs/>
          <w:sz w:val="24"/>
          <w:szCs w:val="24"/>
          <w:lang/>
        </w:rPr>
        <w:t>What is of Faith as to Everlasting Punishment</w:t>
      </w:r>
      <w:r w:rsidRPr="00CA43E4">
        <w:rPr>
          <w:rFonts w:ascii="Times New Roman" w:eastAsia="Times New Roman" w:hAnsi="Times New Roman" w:cs="Times New Roman"/>
          <w:sz w:val="24"/>
          <w:szCs w:val="24"/>
          <w:lang/>
        </w:rPr>
        <w:t xml:space="preserve"> (1880).</w:t>
      </w:r>
    </w:p>
    <w:p w:rsidR="00CA43E4" w:rsidRPr="00CA43E4" w:rsidRDefault="00CA43E4" w:rsidP="00CA43E4">
      <w:pPr>
        <w:spacing w:before="100" w:beforeAutospacing="1" w:after="100" w:afterAutospacing="1" w:line="240" w:lineRule="auto"/>
        <w:rPr>
          <w:rFonts w:ascii="Times New Roman" w:eastAsia="Times New Roman" w:hAnsi="Times New Roman" w:cs="Times New Roman"/>
          <w:smallCaps/>
          <w:sz w:val="24"/>
          <w:szCs w:val="24"/>
          <w:lang/>
        </w:rPr>
      </w:pPr>
      <w:proofErr w:type="gramStart"/>
      <w:r w:rsidRPr="00CA43E4">
        <w:rPr>
          <w:rFonts w:ascii="Times New Roman" w:eastAsia="Times New Roman" w:hAnsi="Times New Roman" w:cs="Times New Roman"/>
          <w:smallCaps/>
          <w:sz w:val="24"/>
          <w:szCs w:val="24"/>
          <w:lang/>
        </w:rPr>
        <w:t xml:space="preserve">(Rudolf </w:t>
      </w:r>
      <w:proofErr w:type="spellStart"/>
      <w:r w:rsidRPr="00CA43E4">
        <w:rPr>
          <w:rFonts w:ascii="Times New Roman" w:eastAsia="Times New Roman" w:hAnsi="Times New Roman" w:cs="Times New Roman"/>
          <w:smallCaps/>
          <w:sz w:val="24"/>
          <w:szCs w:val="24"/>
          <w:lang/>
        </w:rPr>
        <w:t>Buddensieg</w:t>
      </w:r>
      <w:proofErr w:type="spellEnd"/>
      <w:r w:rsidRPr="00CA43E4">
        <w:rPr>
          <w:rFonts w:ascii="Times New Roman" w:eastAsia="Times New Roman" w:hAnsi="Times New Roman" w:cs="Times New Roman"/>
          <w:smallCaps/>
          <w:sz w:val="24"/>
          <w:szCs w:val="24"/>
          <w:lang/>
        </w:rPr>
        <w:t>†.)</w:t>
      </w:r>
      <w:proofErr w:type="gramEnd"/>
    </w:p>
    <w:p w:rsidR="00CA43E4" w:rsidRPr="00CA43E4" w:rsidRDefault="00CA43E4" w:rsidP="00CA43E4">
      <w:pPr>
        <w:spacing w:before="120" w:after="100" w:afterAutospacing="1" w:line="240" w:lineRule="auto"/>
        <w:ind w:left="360" w:hanging="360"/>
        <w:rPr>
          <w:rFonts w:ascii="Times New Roman" w:eastAsia="Times New Roman" w:hAnsi="Times New Roman" w:cs="Times New Roman"/>
          <w:sz w:val="20"/>
          <w:szCs w:val="20"/>
          <w:lang/>
        </w:rPr>
      </w:pPr>
      <w:r w:rsidRPr="00CA43E4">
        <w:rPr>
          <w:rFonts w:ascii="Times New Roman" w:eastAsia="Times New Roman" w:hAnsi="Times New Roman" w:cs="Times New Roman"/>
          <w:sz w:val="20"/>
          <w:szCs w:val="20"/>
          <w:lang/>
        </w:rPr>
        <w:t xml:space="preserve">Bibliography: The principal biography is by H. P. </w:t>
      </w:r>
      <w:proofErr w:type="spellStart"/>
      <w:r w:rsidRPr="00CA43E4">
        <w:rPr>
          <w:rFonts w:ascii="Times New Roman" w:eastAsia="Times New Roman" w:hAnsi="Times New Roman" w:cs="Times New Roman"/>
          <w:sz w:val="20"/>
          <w:szCs w:val="20"/>
          <w:lang/>
        </w:rPr>
        <w:t>Liddon</w:t>
      </w:r>
      <w:proofErr w:type="spellEnd"/>
      <w:r w:rsidRPr="00CA43E4">
        <w:rPr>
          <w:rFonts w:ascii="Times New Roman" w:eastAsia="Times New Roman" w:hAnsi="Times New Roman" w:cs="Times New Roman"/>
          <w:sz w:val="20"/>
          <w:szCs w:val="20"/>
          <w:lang/>
        </w:rPr>
        <w:t xml:space="preserve">, 4 </w:t>
      </w:r>
      <w:proofErr w:type="gramStart"/>
      <w:r w:rsidRPr="00CA43E4">
        <w:rPr>
          <w:rFonts w:ascii="Times New Roman" w:eastAsia="Times New Roman" w:hAnsi="Times New Roman" w:cs="Times New Roman"/>
          <w:sz w:val="20"/>
          <w:szCs w:val="20"/>
          <w:lang/>
        </w:rPr>
        <w:t>vols.,</w:t>
      </w:r>
      <w:proofErr w:type="gramEnd"/>
      <w:r w:rsidRPr="00CA43E4">
        <w:rPr>
          <w:rFonts w:ascii="Times New Roman" w:eastAsia="Times New Roman" w:hAnsi="Times New Roman" w:cs="Times New Roman"/>
          <w:sz w:val="20"/>
          <w:szCs w:val="20"/>
          <w:lang/>
        </w:rPr>
        <w:t xml:space="preserve"> London, 1893–97. Consult further: A. B. Donaldson, </w:t>
      </w:r>
      <w:r w:rsidRPr="00CA43E4">
        <w:rPr>
          <w:rFonts w:ascii="Times New Roman" w:eastAsia="Times New Roman" w:hAnsi="Times New Roman" w:cs="Times New Roman"/>
          <w:i/>
          <w:iCs/>
          <w:sz w:val="20"/>
          <w:szCs w:val="20"/>
          <w:lang/>
        </w:rPr>
        <w:t>Five Great Oxford Leaders</w:t>
      </w:r>
      <w:r w:rsidRPr="00CA43E4">
        <w:rPr>
          <w:rFonts w:ascii="Times New Roman" w:eastAsia="Times New Roman" w:hAnsi="Times New Roman" w:cs="Times New Roman"/>
          <w:sz w:val="20"/>
          <w:szCs w:val="20"/>
          <w:lang/>
        </w:rPr>
        <w:t xml:space="preserve">, ib. 1902; C. C. Grafton, </w:t>
      </w:r>
      <w:r w:rsidRPr="00CA43E4">
        <w:rPr>
          <w:rFonts w:ascii="Times New Roman" w:eastAsia="Times New Roman" w:hAnsi="Times New Roman" w:cs="Times New Roman"/>
          <w:i/>
          <w:iCs/>
          <w:sz w:val="20"/>
          <w:szCs w:val="20"/>
          <w:lang/>
        </w:rPr>
        <w:t>Pusey and the Church Revival</w:t>
      </w:r>
      <w:r w:rsidRPr="00CA43E4">
        <w:rPr>
          <w:rFonts w:ascii="Times New Roman" w:eastAsia="Times New Roman" w:hAnsi="Times New Roman" w:cs="Times New Roman"/>
          <w:sz w:val="20"/>
          <w:szCs w:val="20"/>
          <w:lang/>
        </w:rPr>
        <w:t xml:space="preserve">, Milwaukee, 1902; G. W. E. Russell, </w:t>
      </w:r>
      <w:r w:rsidRPr="00CA43E4">
        <w:rPr>
          <w:rFonts w:ascii="Times New Roman" w:eastAsia="Times New Roman" w:hAnsi="Times New Roman" w:cs="Times New Roman"/>
          <w:i/>
          <w:iCs/>
          <w:sz w:val="20"/>
          <w:szCs w:val="20"/>
          <w:lang/>
        </w:rPr>
        <w:t>Dr. Pusey</w:t>
      </w:r>
      <w:r w:rsidRPr="00CA43E4">
        <w:rPr>
          <w:rFonts w:ascii="Times New Roman" w:eastAsia="Times New Roman" w:hAnsi="Times New Roman" w:cs="Times New Roman"/>
          <w:sz w:val="20"/>
          <w:szCs w:val="20"/>
          <w:lang/>
        </w:rPr>
        <w:t xml:space="preserve">, London, 1907; </w:t>
      </w:r>
      <w:r w:rsidRPr="00CA43E4">
        <w:rPr>
          <w:rFonts w:ascii="Times New Roman" w:eastAsia="Times New Roman" w:hAnsi="Times New Roman" w:cs="Times New Roman"/>
          <w:i/>
          <w:iCs/>
          <w:sz w:val="20"/>
          <w:szCs w:val="20"/>
          <w:lang/>
        </w:rPr>
        <w:t>DNB</w:t>
      </w:r>
      <w:r w:rsidRPr="00CA43E4">
        <w:rPr>
          <w:rFonts w:ascii="Times New Roman" w:eastAsia="Times New Roman" w:hAnsi="Times New Roman" w:cs="Times New Roman"/>
          <w:sz w:val="20"/>
          <w:szCs w:val="20"/>
          <w:lang/>
        </w:rPr>
        <w:t xml:space="preserve">, xlvii. </w:t>
      </w:r>
      <w:proofErr w:type="gramStart"/>
      <w:r w:rsidRPr="00CA43E4">
        <w:rPr>
          <w:rFonts w:ascii="Times New Roman" w:eastAsia="Times New Roman" w:hAnsi="Times New Roman" w:cs="Times New Roman"/>
          <w:sz w:val="20"/>
          <w:szCs w:val="20"/>
          <w:lang/>
        </w:rPr>
        <w:t>53–61.</w:t>
      </w:r>
      <w:proofErr w:type="gramEnd"/>
      <w:r w:rsidRPr="00CA43E4">
        <w:rPr>
          <w:rFonts w:ascii="Times New Roman" w:eastAsia="Times New Roman" w:hAnsi="Times New Roman" w:cs="Times New Roman"/>
          <w:sz w:val="20"/>
          <w:szCs w:val="20"/>
          <w:lang/>
        </w:rPr>
        <w:t xml:space="preserve"> Much of the literature under the articles on Cardinals Manning and Newman and on Tractarianism will be found pertinent. The bibliography of Pusey's works and those evoked by his activities covers seven pages in the </w:t>
      </w:r>
      <w:r w:rsidRPr="00CA43E4">
        <w:rPr>
          <w:rFonts w:ascii="Times New Roman" w:eastAsia="Times New Roman" w:hAnsi="Times New Roman" w:cs="Times New Roman"/>
          <w:i/>
          <w:iCs/>
          <w:sz w:val="20"/>
          <w:szCs w:val="20"/>
          <w:lang/>
        </w:rPr>
        <w:t>British Museum Catalogue.</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CA43E4"/>
    <w:rsid w:val="001A29FC"/>
    <w:rsid w:val="00954E47"/>
    <w:rsid w:val="00CA43E4"/>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CA4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43E4"/>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43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A43E4"/>
    <w:rPr>
      <w:color w:val="0000FF"/>
      <w:u w:val="single"/>
    </w:rPr>
  </w:style>
  <w:style w:type="paragraph" w:customStyle="1" w:styleId="bib21">
    <w:name w:val="bib21"/>
    <w:basedOn w:val="Normal"/>
    <w:rsid w:val="00CA43E4"/>
    <w:pPr>
      <w:spacing w:before="120" w:after="100" w:afterAutospacing="1" w:line="240" w:lineRule="auto"/>
      <w:ind w:left="360" w:hanging="360"/>
    </w:pPr>
    <w:rPr>
      <w:rFonts w:ascii="Times New Roman" w:eastAsia="Times New Roman" w:hAnsi="Times New Roman" w:cs="Times New Roman"/>
      <w:sz w:val="20"/>
      <w:szCs w:val="20"/>
    </w:rPr>
  </w:style>
  <w:style w:type="paragraph" w:customStyle="1" w:styleId="author1">
    <w:name w:val="author1"/>
    <w:basedOn w:val="Normal"/>
    <w:rsid w:val="00CA43E4"/>
    <w:pPr>
      <w:spacing w:before="100" w:beforeAutospacing="1" w:after="100" w:afterAutospacing="1" w:line="240" w:lineRule="auto"/>
    </w:pPr>
    <w:rPr>
      <w:rFonts w:ascii="Times New Roman" w:eastAsia="Times New Roman" w:hAnsi="Times New Roman" w:cs="Times New Roman"/>
      <w:smallCaps/>
      <w:sz w:val="24"/>
      <w:szCs w:val="24"/>
    </w:rPr>
  </w:style>
  <w:style w:type="paragraph" w:styleId="NormalWeb">
    <w:name w:val="Normal (Web)"/>
    <w:basedOn w:val="Normal"/>
    <w:uiPriority w:val="99"/>
    <w:semiHidden/>
    <w:unhideWhenUsed/>
    <w:rsid w:val="00CA43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43E4"/>
    <w:rPr>
      <w:i/>
      <w:iCs/>
    </w:rPr>
  </w:style>
  <w:style w:type="character" w:customStyle="1" w:styleId="pb">
    <w:name w:val="pb"/>
    <w:basedOn w:val="DefaultParagraphFont"/>
    <w:rsid w:val="00CA43E4"/>
  </w:style>
  <w:style w:type="character" w:customStyle="1" w:styleId="sc">
    <w:name w:val="sc"/>
    <w:basedOn w:val="DefaultParagraphFont"/>
    <w:rsid w:val="00CA43E4"/>
  </w:style>
  <w:style w:type="paragraph" w:styleId="BalloonText">
    <w:name w:val="Balloon Text"/>
    <w:basedOn w:val="Normal"/>
    <w:link w:val="BalloonTextChar"/>
    <w:uiPriority w:val="99"/>
    <w:semiHidden/>
    <w:unhideWhenUsed/>
    <w:rsid w:val="00CA4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662912">
      <w:bodyDiv w:val="1"/>
      <w:marLeft w:val="0"/>
      <w:marRight w:val="0"/>
      <w:marTop w:val="0"/>
      <w:marBottom w:val="0"/>
      <w:divBdr>
        <w:top w:val="none" w:sz="0" w:space="0" w:color="auto"/>
        <w:left w:val="none" w:sz="0" w:space="0" w:color="auto"/>
        <w:bottom w:val="none" w:sz="0" w:space="0" w:color="auto"/>
        <w:right w:val="none" w:sz="0" w:space="0" w:color="auto"/>
      </w:divBdr>
      <w:divsChild>
        <w:div w:id="1947231287">
          <w:marLeft w:val="0"/>
          <w:marRight w:val="0"/>
          <w:marTop w:val="0"/>
          <w:marBottom w:val="0"/>
          <w:divBdr>
            <w:top w:val="none" w:sz="0" w:space="0" w:color="auto"/>
            <w:left w:val="none" w:sz="0" w:space="0" w:color="auto"/>
            <w:bottom w:val="none" w:sz="0" w:space="0" w:color="auto"/>
            <w:right w:val="none" w:sz="0" w:space="0" w:color="auto"/>
          </w:divBdr>
          <w:divsChild>
            <w:div w:id="1894389554">
              <w:marLeft w:val="0"/>
              <w:marRight w:val="0"/>
              <w:marTop w:val="0"/>
              <w:marBottom w:val="0"/>
              <w:divBdr>
                <w:top w:val="none" w:sz="0" w:space="0" w:color="auto"/>
                <w:left w:val="none" w:sz="0" w:space="0" w:color="auto"/>
                <w:bottom w:val="none" w:sz="0" w:space="0" w:color="auto"/>
                <w:right w:val="none" w:sz="0" w:space="0" w:color="auto"/>
              </w:divBdr>
              <w:divsChild>
                <w:div w:id="1352536085">
                  <w:marLeft w:val="0"/>
                  <w:marRight w:val="0"/>
                  <w:marTop w:val="0"/>
                  <w:marBottom w:val="0"/>
                  <w:divBdr>
                    <w:top w:val="none" w:sz="0" w:space="0" w:color="auto"/>
                    <w:left w:val="none" w:sz="0" w:space="0" w:color="auto"/>
                    <w:bottom w:val="none" w:sz="0" w:space="0" w:color="auto"/>
                    <w:right w:val="none" w:sz="0" w:space="0" w:color="auto"/>
                  </w:divBdr>
                  <w:divsChild>
                    <w:div w:id="1875117538">
                      <w:marLeft w:val="0"/>
                      <w:marRight w:val="0"/>
                      <w:marTop w:val="0"/>
                      <w:marBottom w:val="0"/>
                      <w:divBdr>
                        <w:top w:val="none" w:sz="0" w:space="0" w:color="auto"/>
                        <w:left w:val="none" w:sz="0" w:space="0" w:color="auto"/>
                        <w:bottom w:val="none" w:sz="0" w:space="0" w:color="auto"/>
                        <w:right w:val="none" w:sz="0" w:space="0" w:color="auto"/>
                      </w:divBdr>
                    </w:div>
                    <w:div w:id="83918169">
                      <w:marLeft w:val="0"/>
                      <w:marRight w:val="0"/>
                      <w:marTop w:val="0"/>
                      <w:marBottom w:val="0"/>
                      <w:divBdr>
                        <w:top w:val="none" w:sz="0" w:space="0" w:color="auto"/>
                        <w:left w:val="none" w:sz="0" w:space="0" w:color="auto"/>
                        <w:bottom w:val="none" w:sz="0" w:space="0" w:color="auto"/>
                        <w:right w:val="none" w:sz="0" w:space="0" w:color="auto"/>
                      </w:divBdr>
                      <w:divsChild>
                        <w:div w:id="461266877">
                          <w:marLeft w:val="0"/>
                          <w:marRight w:val="0"/>
                          <w:marTop w:val="0"/>
                          <w:marBottom w:val="0"/>
                          <w:divBdr>
                            <w:top w:val="none" w:sz="0" w:space="0" w:color="auto"/>
                            <w:left w:val="none" w:sz="0" w:space="0" w:color="auto"/>
                            <w:bottom w:val="none" w:sz="0" w:space="0" w:color="auto"/>
                            <w:right w:val="none" w:sz="0" w:space="0" w:color="auto"/>
                          </w:divBdr>
                          <w:divsChild>
                            <w:div w:id="729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593">
                      <w:marLeft w:val="0"/>
                      <w:marRight w:val="0"/>
                      <w:marTop w:val="0"/>
                      <w:marBottom w:val="0"/>
                      <w:divBdr>
                        <w:top w:val="none" w:sz="0" w:space="0" w:color="auto"/>
                        <w:left w:val="none" w:sz="0" w:space="0" w:color="auto"/>
                        <w:bottom w:val="none" w:sz="0" w:space="0" w:color="auto"/>
                        <w:right w:val="none" w:sz="0" w:space="0" w:color="auto"/>
                      </w:divBdr>
                      <w:divsChild>
                        <w:div w:id="15259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2011-09-06T23:53:00Z</dcterms:created>
  <dcterms:modified xsi:type="dcterms:W3CDTF">2011-09-07T05:06:00Z</dcterms:modified>
</cp:coreProperties>
</file>