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1727"/>
        <w:gridCol w:w="7633"/>
      </w:tblGrid>
      <w:tr w:rsidR="00CE2D0B" w:rsidRPr="00CE2D0B" w:rsidTr="00CE2D0B">
        <w:trPr>
          <w:tblCellSpacing w:w="0" w:type="dxa"/>
        </w:trPr>
        <w:tc>
          <w:tcPr>
            <w:tcW w:w="0" w:type="auto"/>
            <w:vAlign w:val="center"/>
            <w:hideMark/>
          </w:tcPr>
          <w:p w:rsidR="00CE2D0B" w:rsidRPr="00CE2D0B" w:rsidRDefault="00CE2D0B" w:rsidP="00CE2D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51560" cy="7620"/>
                  <wp:effectExtent l="0" t="0" r="0" b="0"/>
                  <wp:docPr id="1" name="Picture 1" descr="http://www.luminarium.org/sevenlit/marvell/invisi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uminarium.org/sevenlit/marvell/invisiline.gif"/>
                          <pic:cNvPicPr>
                            <a:picLocks noChangeAspect="1" noChangeArrowheads="1"/>
                          </pic:cNvPicPr>
                        </pic:nvPicPr>
                        <pic:blipFill>
                          <a:blip r:embed="rId4"/>
                          <a:srcRect/>
                          <a:stretch>
                            <a:fillRect/>
                          </a:stretch>
                        </pic:blipFill>
                        <pic:spPr bwMode="auto">
                          <a:xfrm>
                            <a:off x="0" y="0"/>
                            <a:ext cx="1051560" cy="7620"/>
                          </a:xfrm>
                          <a:prstGeom prst="rect">
                            <a:avLst/>
                          </a:prstGeom>
                          <a:noFill/>
                          <a:ln w="9525">
                            <a:noFill/>
                            <a:miter lim="800000"/>
                            <a:headEnd/>
                            <a:tailEnd/>
                          </a:ln>
                        </pic:spPr>
                      </pic:pic>
                    </a:graphicData>
                  </a:graphic>
                </wp:inline>
              </w:drawing>
            </w:r>
          </w:p>
        </w:tc>
        <w:tc>
          <w:tcPr>
            <w:tcW w:w="0" w:type="auto"/>
            <w:hideMark/>
          </w:tcPr>
          <w:tbl>
            <w:tblPr>
              <w:tblW w:w="7320" w:type="dxa"/>
              <w:tblCellSpacing w:w="15" w:type="dxa"/>
              <w:tblCellMar>
                <w:top w:w="15" w:type="dxa"/>
                <w:left w:w="15" w:type="dxa"/>
                <w:bottom w:w="15" w:type="dxa"/>
                <w:right w:w="15" w:type="dxa"/>
              </w:tblCellMar>
              <w:tblLook w:val="04A0"/>
            </w:tblPr>
            <w:tblGrid>
              <w:gridCol w:w="7320"/>
            </w:tblGrid>
            <w:tr w:rsidR="00CE2D0B" w:rsidRPr="00CE2D0B">
              <w:trPr>
                <w:tblCellSpacing w:w="15" w:type="dxa"/>
              </w:trPr>
              <w:tc>
                <w:tcPr>
                  <w:tcW w:w="0" w:type="auto"/>
                  <w:vAlign w:val="center"/>
                  <w:hideMark/>
                </w:tcPr>
                <w:p w:rsidR="00CE2D0B" w:rsidRPr="00CE2D0B" w:rsidRDefault="00CE2D0B" w:rsidP="00CE2D0B">
                  <w:pPr>
                    <w:spacing w:after="0" w:line="240" w:lineRule="auto"/>
                    <w:jc w:val="center"/>
                    <w:rPr>
                      <w:rFonts w:ascii="Georgia" w:eastAsia="Times New Roman" w:hAnsi="Georgia" w:cs="Times New Roman"/>
                      <w:sz w:val="20"/>
                      <w:szCs w:val="20"/>
                    </w:rPr>
                  </w:pPr>
                  <w:r>
                    <w:rPr>
                      <w:rFonts w:ascii="Georgia" w:eastAsia="Times New Roman" w:hAnsi="Georgia" w:cs="Times New Roman"/>
                      <w:noProof/>
                      <w:sz w:val="20"/>
                      <w:szCs w:val="20"/>
                    </w:rPr>
                    <w:drawing>
                      <wp:inline distT="0" distB="0" distL="0" distR="0">
                        <wp:extent cx="1714500" cy="2057400"/>
                        <wp:effectExtent l="19050" t="0" r="0" b="0"/>
                        <wp:docPr id="2" name="Picture 2" descr="Portrait of John Fo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rait of John Foxe"/>
                                <pic:cNvPicPr>
                                  <a:picLocks noChangeAspect="1" noChangeArrowheads="1"/>
                                </pic:cNvPicPr>
                              </pic:nvPicPr>
                              <pic:blipFill>
                                <a:blip r:embed="rId5" cstate="print"/>
                                <a:srcRect/>
                                <a:stretch>
                                  <a:fillRect/>
                                </a:stretch>
                              </pic:blipFill>
                              <pic:spPr bwMode="auto">
                                <a:xfrm>
                                  <a:off x="0" y="0"/>
                                  <a:ext cx="1714500" cy="2057400"/>
                                </a:xfrm>
                                <a:prstGeom prst="rect">
                                  <a:avLst/>
                                </a:prstGeom>
                                <a:noFill/>
                                <a:ln w="9525">
                                  <a:noFill/>
                                  <a:miter lim="800000"/>
                                  <a:headEnd/>
                                  <a:tailEnd/>
                                </a:ln>
                              </pic:spPr>
                            </pic:pic>
                          </a:graphicData>
                        </a:graphic>
                      </wp:inline>
                    </w:drawing>
                  </w:r>
                  <w:r w:rsidRPr="00CE2D0B">
                    <w:rPr>
                      <w:rFonts w:ascii="Georgia" w:eastAsia="Times New Roman" w:hAnsi="Georgia" w:cs="Times New Roman"/>
                      <w:sz w:val="20"/>
                      <w:szCs w:val="20"/>
                    </w:rPr>
                    <w:br/>
                  </w:r>
                  <w:r w:rsidRPr="00CE2D0B">
                    <w:rPr>
                      <w:rFonts w:ascii="Georgia" w:eastAsia="Times New Roman" w:hAnsi="Georgia" w:cs="Times New Roman"/>
                      <w:sz w:val="20"/>
                      <w:szCs w:val="20"/>
                    </w:rPr>
                    <w:br/>
                  </w:r>
                  <w:r>
                    <w:rPr>
                      <w:rFonts w:ascii="Georgia" w:eastAsia="Times New Roman" w:hAnsi="Georgia" w:cs="Times New Roman"/>
                      <w:noProof/>
                      <w:sz w:val="20"/>
                      <w:szCs w:val="20"/>
                    </w:rPr>
                    <w:drawing>
                      <wp:inline distT="0" distB="0" distL="0" distR="0">
                        <wp:extent cx="3329940" cy="312420"/>
                        <wp:effectExtent l="19050" t="0" r="3810" b="0"/>
                        <wp:docPr id="3" name="Picture 3" descr="Life of John Foxe (1516-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fe of John Foxe (1516-1587)"/>
                                <pic:cNvPicPr>
                                  <a:picLocks noChangeAspect="1" noChangeArrowheads="1"/>
                                </pic:cNvPicPr>
                              </pic:nvPicPr>
                              <pic:blipFill>
                                <a:blip r:embed="rId6" cstate="print"/>
                                <a:srcRect/>
                                <a:stretch>
                                  <a:fillRect/>
                                </a:stretch>
                              </pic:blipFill>
                              <pic:spPr bwMode="auto">
                                <a:xfrm>
                                  <a:off x="0" y="0"/>
                                  <a:ext cx="3329940" cy="312420"/>
                                </a:xfrm>
                                <a:prstGeom prst="rect">
                                  <a:avLst/>
                                </a:prstGeom>
                                <a:noFill/>
                                <a:ln w="9525">
                                  <a:noFill/>
                                  <a:miter lim="800000"/>
                                  <a:headEnd/>
                                  <a:tailEnd/>
                                </a:ln>
                              </pic:spPr>
                            </pic:pic>
                          </a:graphicData>
                        </a:graphic>
                      </wp:inline>
                    </w:drawing>
                  </w:r>
                </w:p>
                <w:p w:rsidR="00CE2D0B" w:rsidRPr="00CE2D0B" w:rsidRDefault="00CE2D0B" w:rsidP="00CE2D0B">
                  <w:pPr>
                    <w:spacing w:after="240" w:line="240" w:lineRule="auto"/>
                    <w:rPr>
                      <w:rFonts w:ascii="Times New Roman" w:eastAsia="Times New Roman" w:hAnsi="Times New Roman" w:cs="Times New Roman"/>
                      <w:sz w:val="24"/>
                      <w:szCs w:val="24"/>
                    </w:rPr>
                  </w:pPr>
                  <w:r w:rsidRPr="00CE2D0B">
                    <w:rPr>
                      <w:rFonts w:ascii="Georgia" w:eastAsia="Times New Roman" w:hAnsi="Georgia" w:cs="Times New Roman"/>
                      <w:sz w:val="20"/>
                      <w:szCs w:val="20"/>
                    </w:rPr>
                    <w:br/>
                  </w:r>
                  <w:r w:rsidRPr="00CE2D0B">
                    <w:rPr>
                      <w:rFonts w:ascii="Georgia" w:eastAsia="Times New Roman" w:hAnsi="Georgia" w:cs="Times New Roman"/>
                      <w:b/>
                      <w:bCs/>
                      <w:sz w:val="20"/>
                      <w:szCs w:val="20"/>
                    </w:rPr>
                    <w:t>JOHN FOXE</w:t>
                  </w:r>
                  <w:r w:rsidRPr="00CE2D0B">
                    <w:rPr>
                      <w:rFonts w:ascii="Georgia" w:eastAsia="Times New Roman" w:hAnsi="Georgia" w:cs="Times New Roman"/>
                      <w:sz w:val="20"/>
                      <w:szCs w:val="20"/>
                    </w:rPr>
                    <w:t xml:space="preserve">, the author of the famous </w:t>
                  </w:r>
                  <w:r w:rsidRPr="00CE2D0B">
                    <w:rPr>
                      <w:rFonts w:ascii="Georgia" w:eastAsia="Times New Roman" w:hAnsi="Georgia" w:cs="Times New Roman"/>
                      <w:i/>
                      <w:iCs/>
                      <w:sz w:val="20"/>
                      <w:szCs w:val="20"/>
                    </w:rPr>
                    <w:t>Book of Martyrs</w:t>
                  </w:r>
                  <w:r w:rsidRPr="00CE2D0B">
                    <w:rPr>
                      <w:rFonts w:ascii="Georgia" w:eastAsia="Times New Roman" w:hAnsi="Georgia" w:cs="Times New Roman"/>
                      <w:sz w:val="20"/>
                      <w:szCs w:val="20"/>
                    </w:rPr>
                    <w:t xml:space="preserve">, was born at Boston, in Lincolnshire, in 1516. At the age of sixteen he is said to have entered Brasenose College, Oxford, where he was the pupil of John Harding or Hawarden, and had for room-mate Alexander </w:t>
                  </w:r>
                  <w:proofErr w:type="spellStart"/>
                  <w:r w:rsidRPr="00CE2D0B">
                    <w:rPr>
                      <w:rFonts w:ascii="Georgia" w:eastAsia="Times New Roman" w:hAnsi="Georgia" w:cs="Times New Roman"/>
                      <w:sz w:val="20"/>
                      <w:szCs w:val="20"/>
                    </w:rPr>
                    <w:t>Nowell</w:t>
                  </w:r>
                  <w:proofErr w:type="spellEnd"/>
                  <w:r w:rsidRPr="00CE2D0B">
                    <w:rPr>
                      <w:rFonts w:ascii="Georgia" w:eastAsia="Times New Roman" w:hAnsi="Georgia" w:cs="Times New Roman"/>
                      <w:sz w:val="20"/>
                      <w:szCs w:val="20"/>
                    </w:rPr>
                    <w:t xml:space="preserve">, afterwards dean of St. Paul's. His authenticated </w:t>
                  </w:r>
                  <w:proofErr w:type="spellStart"/>
                  <w:r w:rsidRPr="00CE2D0B">
                    <w:rPr>
                      <w:rFonts w:ascii="Georgia" w:eastAsia="Times New Roman" w:hAnsi="Georgia" w:cs="Times New Roman"/>
                      <w:sz w:val="20"/>
                      <w:szCs w:val="20"/>
                    </w:rPr>
                    <w:t>connexion</w:t>
                  </w:r>
                  <w:proofErr w:type="spellEnd"/>
                  <w:r w:rsidRPr="00CE2D0B">
                    <w:rPr>
                      <w:rFonts w:ascii="Georgia" w:eastAsia="Times New Roman" w:hAnsi="Georgia" w:cs="Times New Roman"/>
                      <w:sz w:val="20"/>
                      <w:szCs w:val="20"/>
                    </w:rPr>
                    <w:t xml:space="preserve"> at the university is, however, with </w:t>
                  </w:r>
                  <w:proofErr w:type="spellStart"/>
                  <w:r w:rsidRPr="00CE2D0B">
                    <w:rPr>
                      <w:rFonts w:ascii="Georgia" w:eastAsia="Times New Roman" w:hAnsi="Georgia" w:cs="Times New Roman"/>
                      <w:sz w:val="20"/>
                      <w:szCs w:val="20"/>
                    </w:rPr>
                    <w:t>Magdalen</w:t>
                  </w:r>
                  <w:proofErr w:type="spellEnd"/>
                  <w:r w:rsidRPr="00CE2D0B">
                    <w:rPr>
                      <w:rFonts w:ascii="Georgia" w:eastAsia="Times New Roman" w:hAnsi="Georgia" w:cs="Times New Roman"/>
                      <w:sz w:val="20"/>
                      <w:szCs w:val="20"/>
                    </w:rPr>
                    <w:t xml:space="preserve"> College. He took his B.A. degree in 1 537 and his M.A. in 1543. He was lecturer on logic in 1540-1541. He wrote several Latin plays on Scriptural subjects, of which the best, </w:t>
                  </w:r>
                  <w:r w:rsidRPr="00CE2D0B">
                    <w:rPr>
                      <w:rFonts w:ascii="Georgia" w:eastAsia="Times New Roman" w:hAnsi="Georgia" w:cs="Times New Roman"/>
                      <w:i/>
                      <w:iCs/>
                      <w:sz w:val="20"/>
                      <w:szCs w:val="20"/>
                    </w:rPr>
                    <w:t xml:space="preserve">De </w:t>
                  </w:r>
                  <w:proofErr w:type="spellStart"/>
                  <w:r w:rsidRPr="00CE2D0B">
                    <w:rPr>
                      <w:rFonts w:ascii="Georgia" w:eastAsia="Times New Roman" w:hAnsi="Georgia" w:cs="Times New Roman"/>
                      <w:i/>
                      <w:iCs/>
                      <w:sz w:val="20"/>
                      <w:szCs w:val="20"/>
                    </w:rPr>
                    <w:t>Christo</w:t>
                  </w:r>
                  <w:proofErr w:type="spellEnd"/>
                  <w:r w:rsidRPr="00CE2D0B">
                    <w:rPr>
                      <w:rFonts w:ascii="Georgia" w:eastAsia="Times New Roman" w:hAnsi="Georgia" w:cs="Times New Roman"/>
                      <w:i/>
                      <w:iCs/>
                      <w:sz w:val="20"/>
                      <w:szCs w:val="20"/>
                    </w:rPr>
                    <w:t xml:space="preserve"> </w:t>
                  </w:r>
                  <w:proofErr w:type="spellStart"/>
                  <w:r w:rsidRPr="00CE2D0B">
                    <w:rPr>
                      <w:rFonts w:ascii="Georgia" w:eastAsia="Times New Roman" w:hAnsi="Georgia" w:cs="Times New Roman"/>
                      <w:i/>
                      <w:iCs/>
                      <w:sz w:val="20"/>
                      <w:szCs w:val="20"/>
                    </w:rPr>
                    <w:t>triumphante</w:t>
                  </w:r>
                  <w:proofErr w:type="spellEnd"/>
                  <w:r w:rsidRPr="00CE2D0B">
                    <w:rPr>
                      <w:rFonts w:ascii="Georgia" w:eastAsia="Times New Roman" w:hAnsi="Georgia" w:cs="Times New Roman"/>
                      <w:sz w:val="20"/>
                      <w:szCs w:val="20"/>
                    </w:rPr>
                    <w:t>, was repeatedly printed, (London, 1551; Basel, 1556, &amp;c.), and was translated into English by Richard Day, son of the printer.</w:t>
                  </w:r>
                  <w:r w:rsidRPr="00CE2D0B">
                    <w:rPr>
                      <w:rFonts w:ascii="Georgia" w:eastAsia="Times New Roman" w:hAnsi="Georgia" w:cs="Times New Roman"/>
                      <w:sz w:val="20"/>
                      <w:szCs w:val="20"/>
                    </w:rPr>
                    <w:br/>
                  </w:r>
                  <w:r w:rsidRPr="00CE2D0B">
                    <w:rPr>
                      <w:rFonts w:ascii="Georgia" w:eastAsia="Times New Roman" w:hAnsi="Georgia" w:cs="Times New Roman"/>
                      <w:sz w:val="20"/>
                      <w:szCs w:val="20"/>
                    </w:rPr>
                    <w:br/>
                    <w:t xml:space="preserve">He became a fellow of </w:t>
                  </w:r>
                  <w:proofErr w:type="spellStart"/>
                  <w:r w:rsidRPr="00CE2D0B">
                    <w:rPr>
                      <w:rFonts w:ascii="Georgia" w:eastAsia="Times New Roman" w:hAnsi="Georgia" w:cs="Times New Roman"/>
                      <w:sz w:val="20"/>
                      <w:szCs w:val="20"/>
                    </w:rPr>
                    <w:t>Magdalen</w:t>
                  </w:r>
                  <w:proofErr w:type="spellEnd"/>
                  <w:r w:rsidRPr="00CE2D0B">
                    <w:rPr>
                      <w:rFonts w:ascii="Georgia" w:eastAsia="Times New Roman" w:hAnsi="Georgia" w:cs="Times New Roman"/>
                      <w:sz w:val="20"/>
                      <w:szCs w:val="20"/>
                    </w:rPr>
                    <w:t xml:space="preserve"> College in 1539, resigning in 1545. It is said that he refused to conform to the rules for regular attendance at chapel, and that he protested both against the enforced celibacy of fellows and the obligation to take holy orders within seven years of their election. The customary statement that he was expelled from his fellowship is based on the untrustworthy biography attributed to his son Samuel Foxe, but the college records state that he resigned of his own accord and </w:t>
                  </w:r>
                  <w:r w:rsidRPr="00CE2D0B">
                    <w:rPr>
                      <w:rFonts w:ascii="Georgia" w:eastAsia="Times New Roman" w:hAnsi="Georgia" w:cs="Times New Roman"/>
                      <w:i/>
                      <w:iCs/>
                      <w:sz w:val="20"/>
                      <w:szCs w:val="20"/>
                    </w:rPr>
                    <w:t xml:space="preserve">ex </w:t>
                  </w:r>
                  <w:proofErr w:type="spellStart"/>
                  <w:r w:rsidRPr="00CE2D0B">
                    <w:rPr>
                      <w:rFonts w:ascii="Georgia" w:eastAsia="Times New Roman" w:hAnsi="Georgia" w:cs="Times New Roman"/>
                      <w:i/>
                      <w:iCs/>
                      <w:sz w:val="20"/>
                      <w:szCs w:val="20"/>
                    </w:rPr>
                    <w:t>honesta</w:t>
                  </w:r>
                  <w:proofErr w:type="spellEnd"/>
                  <w:r w:rsidRPr="00CE2D0B">
                    <w:rPr>
                      <w:rFonts w:ascii="Georgia" w:eastAsia="Times New Roman" w:hAnsi="Georgia" w:cs="Times New Roman"/>
                      <w:i/>
                      <w:iCs/>
                      <w:sz w:val="20"/>
                      <w:szCs w:val="20"/>
                    </w:rPr>
                    <w:t xml:space="preserve"> </w:t>
                  </w:r>
                  <w:proofErr w:type="spellStart"/>
                  <w:r w:rsidRPr="00CE2D0B">
                    <w:rPr>
                      <w:rFonts w:ascii="Georgia" w:eastAsia="Times New Roman" w:hAnsi="Georgia" w:cs="Times New Roman"/>
                      <w:i/>
                      <w:iCs/>
                      <w:sz w:val="20"/>
                      <w:szCs w:val="20"/>
                    </w:rPr>
                    <w:t>causa</w:t>
                  </w:r>
                  <w:proofErr w:type="spellEnd"/>
                  <w:r w:rsidRPr="00CE2D0B">
                    <w:rPr>
                      <w:rFonts w:ascii="Georgia" w:eastAsia="Times New Roman" w:hAnsi="Georgia" w:cs="Times New Roman"/>
                      <w:sz w:val="20"/>
                      <w:szCs w:val="20"/>
                    </w:rPr>
                    <w:t xml:space="preserve">. The letter in which he protests to President Oglethorpe against the charges of irreverence, &amp;c., brought against him is printed in Pratt's edition (vol. </w:t>
                  </w:r>
                  <w:proofErr w:type="spellStart"/>
                  <w:r w:rsidRPr="00CE2D0B">
                    <w:rPr>
                      <w:rFonts w:ascii="Georgia" w:eastAsia="Times New Roman" w:hAnsi="Georgia" w:cs="Times New Roman"/>
                      <w:sz w:val="20"/>
                      <w:szCs w:val="20"/>
                    </w:rPr>
                    <w:t>i</w:t>
                  </w:r>
                  <w:proofErr w:type="spellEnd"/>
                  <w:r w:rsidRPr="00CE2D0B">
                    <w:rPr>
                      <w:rFonts w:ascii="Georgia" w:eastAsia="Times New Roman" w:hAnsi="Georgia" w:cs="Times New Roman"/>
                      <w:sz w:val="20"/>
                      <w:szCs w:val="20"/>
                    </w:rPr>
                    <w:t>. Appendix, pp. 58-61).</w:t>
                  </w:r>
                  <w:r w:rsidRPr="00CE2D0B">
                    <w:rPr>
                      <w:rFonts w:ascii="Georgia" w:eastAsia="Times New Roman" w:hAnsi="Georgia" w:cs="Times New Roman"/>
                      <w:sz w:val="20"/>
                      <w:szCs w:val="20"/>
                    </w:rPr>
                    <w:br/>
                  </w:r>
                  <w:r w:rsidRPr="00CE2D0B">
                    <w:rPr>
                      <w:rFonts w:ascii="Georgia" w:eastAsia="Times New Roman" w:hAnsi="Georgia" w:cs="Times New Roman"/>
                      <w:sz w:val="20"/>
                      <w:szCs w:val="20"/>
                    </w:rPr>
                    <w:br/>
                    <w:t xml:space="preserve">On leaving Oxford he acted as tutor for a short time in the house of the </w:t>
                  </w:r>
                  <w:proofErr w:type="spellStart"/>
                  <w:r w:rsidRPr="00CE2D0B">
                    <w:rPr>
                      <w:rFonts w:ascii="Georgia" w:eastAsia="Times New Roman" w:hAnsi="Georgia" w:cs="Times New Roman"/>
                      <w:sz w:val="20"/>
                      <w:szCs w:val="20"/>
                    </w:rPr>
                    <w:t>Lucys</w:t>
                  </w:r>
                  <w:proofErr w:type="spellEnd"/>
                  <w:r w:rsidRPr="00CE2D0B">
                    <w:rPr>
                      <w:rFonts w:ascii="Georgia" w:eastAsia="Times New Roman" w:hAnsi="Georgia" w:cs="Times New Roman"/>
                      <w:sz w:val="20"/>
                      <w:szCs w:val="20"/>
                    </w:rPr>
                    <w:t xml:space="preserve"> of </w:t>
                  </w:r>
                  <w:proofErr w:type="spellStart"/>
                  <w:r w:rsidRPr="00CE2D0B">
                    <w:rPr>
                      <w:rFonts w:ascii="Georgia" w:eastAsia="Times New Roman" w:hAnsi="Georgia" w:cs="Times New Roman"/>
                      <w:sz w:val="20"/>
                      <w:szCs w:val="20"/>
                    </w:rPr>
                    <w:t>Charlecote</w:t>
                  </w:r>
                  <w:proofErr w:type="spellEnd"/>
                  <w:r w:rsidRPr="00CE2D0B">
                    <w:rPr>
                      <w:rFonts w:ascii="Georgia" w:eastAsia="Times New Roman" w:hAnsi="Georgia" w:cs="Times New Roman"/>
                      <w:sz w:val="20"/>
                      <w:szCs w:val="20"/>
                    </w:rPr>
                    <w:t xml:space="preserve">, near Stratford-on-Avon, where he married Agnes Randall. Late in 1547 or early in the next year he went to London. He found a patron in Mary Fitzroy, Duchess of Richmond, and having been ordained deacon by </w:t>
                  </w:r>
                  <w:hyperlink r:id="rId7" w:history="1">
                    <w:r w:rsidRPr="00CE2D0B">
                      <w:rPr>
                        <w:rFonts w:ascii="Georgia" w:eastAsia="Times New Roman" w:hAnsi="Georgia" w:cs="Times New Roman"/>
                        <w:color w:val="79535F"/>
                        <w:sz w:val="20"/>
                        <w:u w:val="single"/>
                      </w:rPr>
                      <w:t>Ridley</w:t>
                    </w:r>
                  </w:hyperlink>
                  <w:r w:rsidRPr="00CE2D0B">
                    <w:rPr>
                      <w:rFonts w:ascii="Georgia" w:eastAsia="Times New Roman" w:hAnsi="Georgia" w:cs="Times New Roman"/>
                      <w:sz w:val="20"/>
                      <w:szCs w:val="20"/>
                    </w:rPr>
                    <w:t xml:space="preserve"> in 1550, he settled at </w:t>
                  </w:r>
                  <w:proofErr w:type="spellStart"/>
                  <w:r w:rsidRPr="00CE2D0B">
                    <w:rPr>
                      <w:rFonts w:ascii="Georgia" w:eastAsia="Times New Roman" w:hAnsi="Georgia" w:cs="Times New Roman"/>
                      <w:sz w:val="20"/>
                      <w:szCs w:val="20"/>
                    </w:rPr>
                    <w:t>Reigate</w:t>
                  </w:r>
                  <w:proofErr w:type="spellEnd"/>
                  <w:r w:rsidRPr="00CE2D0B">
                    <w:rPr>
                      <w:rFonts w:ascii="Georgia" w:eastAsia="Times New Roman" w:hAnsi="Georgia" w:cs="Times New Roman"/>
                      <w:sz w:val="20"/>
                      <w:szCs w:val="20"/>
                    </w:rPr>
                    <w:t xml:space="preserve"> Castle, where he acted as tutor to the duchess's nephews, the orphan children of </w:t>
                  </w:r>
                  <w:hyperlink r:id="rId8" w:history="1">
                    <w:r w:rsidRPr="00CE2D0B">
                      <w:rPr>
                        <w:rFonts w:ascii="Georgia" w:eastAsia="Times New Roman" w:hAnsi="Georgia" w:cs="Times New Roman"/>
                        <w:color w:val="79535F"/>
                        <w:sz w:val="20"/>
                        <w:u w:val="single"/>
                      </w:rPr>
                      <w:t>Henry Howard, Earl of Surrey</w:t>
                    </w:r>
                  </w:hyperlink>
                  <w:r w:rsidRPr="00CE2D0B">
                    <w:rPr>
                      <w:rFonts w:ascii="Georgia" w:eastAsia="Times New Roman" w:hAnsi="Georgia" w:cs="Times New Roman"/>
                      <w:sz w:val="20"/>
                      <w:szCs w:val="20"/>
                    </w:rPr>
                    <w:t xml:space="preserve">. On the accession of </w:t>
                  </w:r>
                  <w:hyperlink r:id="rId9" w:history="1">
                    <w:r w:rsidRPr="00CE2D0B">
                      <w:rPr>
                        <w:rFonts w:ascii="Georgia" w:eastAsia="Times New Roman" w:hAnsi="Georgia" w:cs="Times New Roman"/>
                        <w:color w:val="79535F"/>
                        <w:sz w:val="20"/>
                        <w:u w:val="single"/>
                      </w:rPr>
                      <w:t>Queen Mary</w:t>
                    </w:r>
                  </w:hyperlink>
                  <w:r w:rsidRPr="00CE2D0B">
                    <w:rPr>
                      <w:rFonts w:ascii="Georgia" w:eastAsia="Times New Roman" w:hAnsi="Georgia" w:cs="Times New Roman"/>
                      <w:sz w:val="20"/>
                      <w:szCs w:val="20"/>
                    </w:rPr>
                    <w:t xml:space="preserve">, Foxe was deprived of his tutorship by the boys' grandfather, the </w:t>
                  </w:r>
                  <w:hyperlink r:id="rId10" w:history="1">
                    <w:r w:rsidRPr="00CE2D0B">
                      <w:rPr>
                        <w:rFonts w:ascii="Georgia" w:eastAsia="Times New Roman" w:hAnsi="Georgia" w:cs="Times New Roman"/>
                        <w:color w:val="79535F"/>
                        <w:sz w:val="20"/>
                        <w:u w:val="single"/>
                      </w:rPr>
                      <w:t>Duke of Norfolk</w:t>
                    </w:r>
                  </w:hyperlink>
                  <w:r w:rsidRPr="00CE2D0B">
                    <w:rPr>
                      <w:rFonts w:ascii="Georgia" w:eastAsia="Times New Roman" w:hAnsi="Georgia" w:cs="Times New Roman"/>
                      <w:sz w:val="20"/>
                      <w:szCs w:val="20"/>
                    </w:rPr>
                    <w:t>, who was now released from prison.</w:t>
                  </w:r>
                  <w:r w:rsidRPr="00CE2D0B">
                    <w:rPr>
                      <w:rFonts w:ascii="Georgia" w:eastAsia="Times New Roman" w:hAnsi="Georgia" w:cs="Times New Roman"/>
                      <w:sz w:val="20"/>
                      <w:szCs w:val="20"/>
                    </w:rPr>
                    <w:br/>
                  </w:r>
                  <w:r w:rsidRPr="00CE2D0B">
                    <w:rPr>
                      <w:rFonts w:ascii="Georgia" w:eastAsia="Times New Roman" w:hAnsi="Georgia" w:cs="Times New Roman"/>
                      <w:sz w:val="20"/>
                      <w:szCs w:val="20"/>
                    </w:rPr>
                    <w:br/>
                    <w:t xml:space="preserve">He retired to </w:t>
                  </w:r>
                  <w:proofErr w:type="spellStart"/>
                  <w:r w:rsidRPr="00CE2D0B">
                    <w:rPr>
                      <w:rFonts w:ascii="Georgia" w:eastAsia="Times New Roman" w:hAnsi="Georgia" w:cs="Times New Roman"/>
                      <w:sz w:val="20"/>
                      <w:szCs w:val="20"/>
                    </w:rPr>
                    <w:t>Strassburg</w:t>
                  </w:r>
                  <w:proofErr w:type="spellEnd"/>
                  <w:r w:rsidRPr="00CE2D0B">
                    <w:rPr>
                      <w:rFonts w:ascii="Georgia" w:eastAsia="Times New Roman" w:hAnsi="Georgia" w:cs="Times New Roman"/>
                      <w:sz w:val="20"/>
                      <w:szCs w:val="20"/>
                    </w:rPr>
                    <w:t xml:space="preserve">, and occupied himself with a Latin history of the Christian persecutions which he had begun at the suggestion of </w:t>
                  </w:r>
                  <w:hyperlink r:id="rId11" w:history="1">
                    <w:r w:rsidRPr="00CE2D0B">
                      <w:rPr>
                        <w:rFonts w:ascii="Georgia" w:eastAsia="Times New Roman" w:hAnsi="Georgia" w:cs="Times New Roman"/>
                        <w:color w:val="79535F"/>
                        <w:sz w:val="20"/>
                        <w:u w:val="single"/>
                      </w:rPr>
                      <w:t>Lady Jane Grey</w:t>
                    </w:r>
                  </w:hyperlink>
                  <w:r w:rsidRPr="00CE2D0B">
                    <w:rPr>
                      <w:rFonts w:ascii="Georgia" w:eastAsia="Times New Roman" w:hAnsi="Georgia" w:cs="Times New Roman"/>
                      <w:sz w:val="20"/>
                      <w:szCs w:val="20"/>
                    </w:rPr>
                    <w:t xml:space="preserve">. He had assistance from two clerics of widely differing opinions — from Edmund </w:t>
                  </w:r>
                  <w:proofErr w:type="spellStart"/>
                  <w:r w:rsidRPr="00CE2D0B">
                    <w:rPr>
                      <w:rFonts w:ascii="Georgia" w:eastAsia="Times New Roman" w:hAnsi="Georgia" w:cs="Times New Roman"/>
                      <w:sz w:val="20"/>
                      <w:szCs w:val="20"/>
                    </w:rPr>
                    <w:t>Grindal</w:t>
                  </w:r>
                  <w:proofErr w:type="spellEnd"/>
                  <w:r w:rsidRPr="00CE2D0B">
                    <w:rPr>
                      <w:rFonts w:ascii="Georgia" w:eastAsia="Times New Roman" w:hAnsi="Georgia" w:cs="Times New Roman"/>
                      <w:sz w:val="20"/>
                      <w:szCs w:val="20"/>
                    </w:rPr>
                    <w:t xml:space="preserve">, who was later, as Archbishop of Canterbury, to maintain his Puritan convictions in opposition to </w:t>
                  </w:r>
                  <w:hyperlink r:id="rId12" w:history="1">
                    <w:r w:rsidRPr="00CE2D0B">
                      <w:rPr>
                        <w:rFonts w:ascii="Georgia" w:eastAsia="Times New Roman" w:hAnsi="Georgia" w:cs="Times New Roman"/>
                        <w:color w:val="79535F"/>
                        <w:sz w:val="20"/>
                        <w:u w:val="single"/>
                      </w:rPr>
                      <w:t>Elizabeth</w:t>
                    </w:r>
                  </w:hyperlink>
                  <w:r w:rsidRPr="00CE2D0B">
                    <w:rPr>
                      <w:rFonts w:ascii="Georgia" w:eastAsia="Times New Roman" w:hAnsi="Georgia" w:cs="Times New Roman"/>
                      <w:sz w:val="20"/>
                      <w:szCs w:val="20"/>
                    </w:rPr>
                    <w:t xml:space="preserve">; and from </w:t>
                  </w:r>
                  <w:hyperlink r:id="rId13" w:history="1">
                    <w:r w:rsidRPr="00CE2D0B">
                      <w:rPr>
                        <w:rFonts w:ascii="Georgia" w:eastAsia="Times New Roman" w:hAnsi="Georgia" w:cs="Times New Roman"/>
                        <w:color w:val="79535F"/>
                        <w:sz w:val="20"/>
                        <w:u w:val="single"/>
                      </w:rPr>
                      <w:t>John Aylmer</w:t>
                    </w:r>
                  </w:hyperlink>
                  <w:r w:rsidRPr="00CE2D0B">
                    <w:rPr>
                      <w:rFonts w:ascii="Georgia" w:eastAsia="Times New Roman" w:hAnsi="Georgia" w:cs="Times New Roman"/>
                      <w:sz w:val="20"/>
                      <w:szCs w:val="20"/>
                    </w:rPr>
                    <w:t xml:space="preserve">, afterwards one of the bitterest opponents of the Puritan party. This book, dealing chiefly with Wycliffe and Huss, and coming down to 1500, formed the first outline of the </w:t>
                  </w:r>
                  <w:proofErr w:type="spellStart"/>
                  <w:r w:rsidRPr="00CE2D0B">
                    <w:rPr>
                      <w:rFonts w:ascii="Georgia" w:eastAsia="Times New Roman" w:hAnsi="Georgia" w:cs="Times New Roman"/>
                      <w:i/>
                      <w:iCs/>
                      <w:sz w:val="20"/>
                      <w:szCs w:val="20"/>
                    </w:rPr>
                    <w:t>Actes</w:t>
                  </w:r>
                  <w:proofErr w:type="spellEnd"/>
                  <w:r w:rsidRPr="00CE2D0B">
                    <w:rPr>
                      <w:rFonts w:ascii="Georgia" w:eastAsia="Times New Roman" w:hAnsi="Georgia" w:cs="Times New Roman"/>
                      <w:i/>
                      <w:iCs/>
                      <w:sz w:val="20"/>
                      <w:szCs w:val="20"/>
                    </w:rPr>
                    <w:t xml:space="preserve"> and Monuments</w:t>
                  </w:r>
                  <w:r w:rsidRPr="00CE2D0B">
                    <w:rPr>
                      <w:rFonts w:ascii="Georgia" w:eastAsia="Times New Roman" w:hAnsi="Georgia" w:cs="Times New Roman"/>
                      <w:sz w:val="20"/>
                      <w:szCs w:val="20"/>
                    </w:rPr>
                    <w:t xml:space="preserve">. It was printed by </w:t>
                  </w:r>
                  <w:proofErr w:type="spellStart"/>
                  <w:r w:rsidRPr="00CE2D0B">
                    <w:rPr>
                      <w:rFonts w:ascii="Georgia" w:eastAsia="Times New Roman" w:hAnsi="Georgia" w:cs="Times New Roman"/>
                      <w:sz w:val="20"/>
                      <w:szCs w:val="20"/>
                    </w:rPr>
                    <w:t>Wendelin</w:t>
                  </w:r>
                  <w:proofErr w:type="spellEnd"/>
                  <w:r w:rsidRPr="00CE2D0B">
                    <w:rPr>
                      <w:rFonts w:ascii="Georgia" w:eastAsia="Times New Roman" w:hAnsi="Georgia" w:cs="Times New Roman"/>
                      <w:sz w:val="20"/>
                      <w:szCs w:val="20"/>
                    </w:rPr>
                    <w:t xml:space="preserve"> </w:t>
                  </w:r>
                  <w:proofErr w:type="spellStart"/>
                  <w:r w:rsidRPr="00CE2D0B">
                    <w:rPr>
                      <w:rFonts w:ascii="Georgia" w:eastAsia="Times New Roman" w:hAnsi="Georgia" w:cs="Times New Roman"/>
                      <w:sz w:val="20"/>
                      <w:szCs w:val="20"/>
                    </w:rPr>
                    <w:t>Richelius</w:t>
                  </w:r>
                  <w:proofErr w:type="spellEnd"/>
                  <w:r w:rsidRPr="00CE2D0B">
                    <w:rPr>
                      <w:rFonts w:ascii="Georgia" w:eastAsia="Times New Roman" w:hAnsi="Georgia" w:cs="Times New Roman"/>
                      <w:sz w:val="20"/>
                      <w:szCs w:val="20"/>
                    </w:rPr>
                    <w:t xml:space="preserve"> with the title of </w:t>
                  </w:r>
                  <w:proofErr w:type="spellStart"/>
                  <w:r w:rsidRPr="00CE2D0B">
                    <w:rPr>
                      <w:rFonts w:ascii="Georgia" w:eastAsia="Times New Roman" w:hAnsi="Georgia" w:cs="Times New Roman"/>
                      <w:i/>
                      <w:iCs/>
                      <w:sz w:val="20"/>
                      <w:szCs w:val="20"/>
                    </w:rPr>
                    <w:t>Commentarii</w:t>
                  </w:r>
                  <w:proofErr w:type="spellEnd"/>
                  <w:r w:rsidRPr="00CE2D0B">
                    <w:rPr>
                      <w:rFonts w:ascii="Georgia" w:eastAsia="Times New Roman" w:hAnsi="Georgia" w:cs="Times New Roman"/>
                      <w:i/>
                      <w:iCs/>
                      <w:sz w:val="20"/>
                      <w:szCs w:val="20"/>
                    </w:rPr>
                    <w:t xml:space="preserve"> </w:t>
                  </w:r>
                  <w:proofErr w:type="spellStart"/>
                  <w:r w:rsidRPr="00CE2D0B">
                    <w:rPr>
                      <w:rFonts w:ascii="Georgia" w:eastAsia="Times New Roman" w:hAnsi="Georgia" w:cs="Times New Roman"/>
                      <w:i/>
                      <w:iCs/>
                      <w:sz w:val="20"/>
                      <w:szCs w:val="20"/>
                    </w:rPr>
                    <w:t>rerum</w:t>
                  </w:r>
                  <w:proofErr w:type="spellEnd"/>
                  <w:r w:rsidRPr="00CE2D0B">
                    <w:rPr>
                      <w:rFonts w:ascii="Georgia" w:eastAsia="Times New Roman" w:hAnsi="Georgia" w:cs="Times New Roman"/>
                      <w:i/>
                      <w:iCs/>
                      <w:sz w:val="20"/>
                      <w:szCs w:val="20"/>
                    </w:rPr>
                    <w:t xml:space="preserve"> in ecclesia </w:t>
                  </w:r>
                  <w:proofErr w:type="spellStart"/>
                  <w:r w:rsidRPr="00CE2D0B">
                    <w:rPr>
                      <w:rFonts w:ascii="Georgia" w:eastAsia="Times New Roman" w:hAnsi="Georgia" w:cs="Times New Roman"/>
                      <w:i/>
                      <w:iCs/>
                      <w:sz w:val="20"/>
                      <w:szCs w:val="20"/>
                    </w:rPr>
                    <w:t>gestarum</w:t>
                  </w:r>
                  <w:proofErr w:type="spellEnd"/>
                  <w:r w:rsidRPr="00CE2D0B">
                    <w:rPr>
                      <w:rFonts w:ascii="Georgia" w:eastAsia="Times New Roman" w:hAnsi="Georgia" w:cs="Times New Roman"/>
                      <w:sz w:val="20"/>
                      <w:szCs w:val="20"/>
                    </w:rPr>
                    <w:t xml:space="preserve"> (Strasburg, 1554). In the year of its </w:t>
                  </w:r>
                  <w:r w:rsidRPr="00CE2D0B">
                    <w:rPr>
                      <w:rFonts w:ascii="Georgia" w:eastAsia="Times New Roman" w:hAnsi="Georgia" w:cs="Times New Roman"/>
                      <w:sz w:val="20"/>
                      <w:szCs w:val="20"/>
                    </w:rPr>
                    <w:lastRenderedPageBreak/>
                    <w:t>publication Foxe removed to Frankfort, where he found the English colony of Protestant refugees divided into two camps. He made a vain attempt to frame a compromise which should be accepted by the extreme Calvinists and by the partisans of the Anglican doctrine.</w:t>
                  </w:r>
                  <w:r w:rsidRPr="00CE2D0B">
                    <w:rPr>
                      <w:rFonts w:ascii="Georgia" w:eastAsia="Times New Roman" w:hAnsi="Georgia" w:cs="Times New Roman"/>
                      <w:sz w:val="20"/>
                      <w:szCs w:val="20"/>
                    </w:rPr>
                    <w:br/>
                  </w:r>
                  <w:r w:rsidRPr="00CE2D0B">
                    <w:rPr>
                      <w:rFonts w:ascii="Georgia" w:eastAsia="Times New Roman" w:hAnsi="Georgia" w:cs="Times New Roman"/>
                      <w:sz w:val="20"/>
                      <w:szCs w:val="20"/>
                    </w:rPr>
                    <w:br/>
                    <w:t xml:space="preserve">He removed (1555) to Basel, where he worked as printer's reader to Johann </w:t>
                  </w:r>
                  <w:proofErr w:type="spellStart"/>
                  <w:r w:rsidRPr="00CE2D0B">
                    <w:rPr>
                      <w:rFonts w:ascii="Georgia" w:eastAsia="Times New Roman" w:hAnsi="Georgia" w:cs="Times New Roman"/>
                      <w:sz w:val="20"/>
                      <w:szCs w:val="20"/>
                    </w:rPr>
                    <w:t>Herbst</w:t>
                  </w:r>
                  <w:proofErr w:type="spellEnd"/>
                  <w:r w:rsidRPr="00CE2D0B">
                    <w:rPr>
                      <w:rFonts w:ascii="Georgia" w:eastAsia="Times New Roman" w:hAnsi="Georgia" w:cs="Times New Roman"/>
                      <w:sz w:val="20"/>
                      <w:szCs w:val="20"/>
                    </w:rPr>
                    <w:t xml:space="preserve"> or </w:t>
                  </w:r>
                  <w:proofErr w:type="spellStart"/>
                  <w:r w:rsidRPr="00CE2D0B">
                    <w:rPr>
                      <w:rFonts w:ascii="Georgia" w:eastAsia="Times New Roman" w:hAnsi="Georgia" w:cs="Times New Roman"/>
                      <w:sz w:val="20"/>
                      <w:szCs w:val="20"/>
                    </w:rPr>
                    <w:t>Oporinus</w:t>
                  </w:r>
                  <w:proofErr w:type="spellEnd"/>
                  <w:r w:rsidRPr="00CE2D0B">
                    <w:rPr>
                      <w:rFonts w:ascii="Georgia" w:eastAsia="Times New Roman" w:hAnsi="Georgia" w:cs="Times New Roman"/>
                      <w:sz w:val="20"/>
                      <w:szCs w:val="20"/>
                    </w:rPr>
                    <w:t xml:space="preserve">. He made steady progress with his great book as he received reports from England of the religious persecutions there, and he issued from the press of </w:t>
                  </w:r>
                  <w:proofErr w:type="spellStart"/>
                  <w:r w:rsidRPr="00CE2D0B">
                    <w:rPr>
                      <w:rFonts w:ascii="Georgia" w:eastAsia="Times New Roman" w:hAnsi="Georgia" w:cs="Times New Roman"/>
                      <w:sz w:val="20"/>
                      <w:szCs w:val="20"/>
                    </w:rPr>
                    <w:t>Oporinus</w:t>
                  </w:r>
                  <w:proofErr w:type="spellEnd"/>
                  <w:r w:rsidRPr="00CE2D0B">
                    <w:rPr>
                      <w:rFonts w:ascii="Georgia" w:eastAsia="Times New Roman" w:hAnsi="Georgia" w:cs="Times New Roman"/>
                      <w:sz w:val="20"/>
                      <w:szCs w:val="20"/>
                    </w:rPr>
                    <w:t xml:space="preserve"> his pamphlet </w:t>
                  </w:r>
                  <w:r w:rsidRPr="00CE2D0B">
                    <w:rPr>
                      <w:rFonts w:ascii="Georgia" w:eastAsia="Times New Roman" w:hAnsi="Georgia" w:cs="Times New Roman"/>
                      <w:i/>
                      <w:iCs/>
                      <w:sz w:val="20"/>
                      <w:szCs w:val="20"/>
                    </w:rPr>
                    <w:t xml:space="preserve">Ad </w:t>
                  </w:r>
                  <w:proofErr w:type="spellStart"/>
                  <w:r w:rsidRPr="00CE2D0B">
                    <w:rPr>
                      <w:rFonts w:ascii="Georgia" w:eastAsia="Times New Roman" w:hAnsi="Georgia" w:cs="Times New Roman"/>
                      <w:i/>
                      <w:iCs/>
                      <w:sz w:val="20"/>
                      <w:szCs w:val="20"/>
                    </w:rPr>
                    <w:t>inclytos</w:t>
                  </w:r>
                  <w:proofErr w:type="spellEnd"/>
                  <w:r w:rsidRPr="00CE2D0B">
                    <w:rPr>
                      <w:rFonts w:ascii="Georgia" w:eastAsia="Times New Roman" w:hAnsi="Georgia" w:cs="Times New Roman"/>
                      <w:i/>
                      <w:iCs/>
                      <w:sz w:val="20"/>
                      <w:szCs w:val="20"/>
                    </w:rPr>
                    <w:t xml:space="preserve"> ac </w:t>
                  </w:r>
                  <w:proofErr w:type="spellStart"/>
                  <w:r w:rsidRPr="00CE2D0B">
                    <w:rPr>
                      <w:rFonts w:ascii="Georgia" w:eastAsia="Times New Roman" w:hAnsi="Georgia" w:cs="Times New Roman"/>
                      <w:i/>
                      <w:iCs/>
                      <w:sz w:val="20"/>
                      <w:szCs w:val="20"/>
                    </w:rPr>
                    <w:t>praepotentes</w:t>
                  </w:r>
                  <w:proofErr w:type="spellEnd"/>
                  <w:r w:rsidRPr="00CE2D0B">
                    <w:rPr>
                      <w:rFonts w:ascii="Georgia" w:eastAsia="Times New Roman" w:hAnsi="Georgia" w:cs="Times New Roman"/>
                      <w:i/>
                      <w:iCs/>
                      <w:sz w:val="20"/>
                      <w:szCs w:val="20"/>
                    </w:rPr>
                    <w:t xml:space="preserve"> </w:t>
                  </w:r>
                  <w:proofErr w:type="spellStart"/>
                  <w:r w:rsidRPr="00CE2D0B">
                    <w:rPr>
                      <w:rFonts w:ascii="Georgia" w:eastAsia="Times New Roman" w:hAnsi="Georgia" w:cs="Times New Roman"/>
                      <w:i/>
                      <w:iCs/>
                      <w:sz w:val="20"/>
                      <w:szCs w:val="20"/>
                    </w:rPr>
                    <w:t>Angliae</w:t>
                  </w:r>
                  <w:proofErr w:type="spellEnd"/>
                  <w:r w:rsidRPr="00CE2D0B">
                    <w:rPr>
                      <w:rFonts w:ascii="Georgia" w:eastAsia="Times New Roman" w:hAnsi="Georgia" w:cs="Times New Roman"/>
                      <w:i/>
                      <w:iCs/>
                      <w:sz w:val="20"/>
                      <w:szCs w:val="20"/>
                    </w:rPr>
                    <w:t xml:space="preserve"> </w:t>
                  </w:r>
                  <w:proofErr w:type="spellStart"/>
                  <w:r w:rsidRPr="00CE2D0B">
                    <w:rPr>
                      <w:rFonts w:ascii="Georgia" w:eastAsia="Times New Roman" w:hAnsi="Georgia" w:cs="Times New Roman"/>
                      <w:i/>
                      <w:iCs/>
                      <w:sz w:val="20"/>
                      <w:szCs w:val="20"/>
                    </w:rPr>
                    <w:t>proceres</w:t>
                  </w:r>
                  <w:proofErr w:type="spellEnd"/>
                  <w:r w:rsidRPr="00CE2D0B">
                    <w:rPr>
                      <w:rFonts w:ascii="Georgia" w:eastAsia="Times New Roman" w:hAnsi="Georgia" w:cs="Times New Roman"/>
                      <w:i/>
                      <w:iCs/>
                      <w:sz w:val="20"/>
                      <w:szCs w:val="20"/>
                    </w:rPr>
                    <w:t xml:space="preserve"> ... </w:t>
                  </w:r>
                  <w:proofErr w:type="spellStart"/>
                  <w:r w:rsidRPr="00CE2D0B">
                    <w:rPr>
                      <w:rFonts w:ascii="Georgia" w:eastAsia="Times New Roman" w:hAnsi="Georgia" w:cs="Times New Roman"/>
                      <w:i/>
                      <w:iCs/>
                      <w:sz w:val="20"/>
                      <w:szCs w:val="20"/>
                    </w:rPr>
                    <w:t>supplicatio</w:t>
                  </w:r>
                  <w:proofErr w:type="spellEnd"/>
                  <w:r w:rsidRPr="00CE2D0B">
                    <w:rPr>
                      <w:rFonts w:ascii="Georgia" w:eastAsia="Times New Roman" w:hAnsi="Georgia" w:cs="Times New Roman"/>
                      <w:sz w:val="20"/>
                      <w:szCs w:val="20"/>
                    </w:rPr>
                    <w:t xml:space="preserve"> (1557), a plea for toleration addressed to the English nobility. In 1559 he completed the Latin edition' of his </w:t>
                  </w:r>
                  <w:proofErr w:type="spellStart"/>
                  <w:r w:rsidRPr="00CE2D0B">
                    <w:rPr>
                      <w:rFonts w:ascii="Georgia" w:eastAsia="Times New Roman" w:hAnsi="Georgia" w:cs="Times New Roman"/>
                      <w:sz w:val="20"/>
                      <w:szCs w:val="20"/>
                    </w:rPr>
                    <w:t>martyrology</w:t>
                  </w:r>
                  <w:proofErr w:type="spellEnd"/>
                  <w:r w:rsidRPr="00CE2D0B">
                    <w:rPr>
                      <w:rFonts w:ascii="Georgia" w:eastAsia="Times New Roman" w:hAnsi="Georgia" w:cs="Times New Roman"/>
                      <w:sz w:val="20"/>
                      <w:szCs w:val="20"/>
                    </w:rPr>
                    <w:t xml:space="preserve"> and returned to England. He lived for some time at </w:t>
                  </w:r>
                  <w:proofErr w:type="spellStart"/>
                  <w:r w:rsidRPr="00CE2D0B">
                    <w:rPr>
                      <w:rFonts w:ascii="Georgia" w:eastAsia="Times New Roman" w:hAnsi="Georgia" w:cs="Times New Roman"/>
                      <w:sz w:val="20"/>
                      <w:szCs w:val="20"/>
                    </w:rPr>
                    <w:t>Aldgate</w:t>
                  </w:r>
                  <w:proofErr w:type="spellEnd"/>
                  <w:r w:rsidRPr="00CE2D0B">
                    <w:rPr>
                      <w:rFonts w:ascii="Georgia" w:eastAsia="Times New Roman" w:hAnsi="Georgia" w:cs="Times New Roman"/>
                      <w:sz w:val="20"/>
                      <w:szCs w:val="20"/>
                    </w:rPr>
                    <w:t xml:space="preserve">, London, in the house of his former pupil, Thomas Howard, now duke of Norfolk, who retained a sincere regard for his tutor and left him a small pension in his will. He became associated with John Day the printer, himself once a Protestant exile. Foxe was ordained priest by Edmund </w:t>
                  </w:r>
                  <w:proofErr w:type="spellStart"/>
                  <w:r w:rsidRPr="00CE2D0B">
                    <w:rPr>
                      <w:rFonts w:ascii="Georgia" w:eastAsia="Times New Roman" w:hAnsi="Georgia" w:cs="Times New Roman"/>
                      <w:sz w:val="20"/>
                      <w:szCs w:val="20"/>
                    </w:rPr>
                    <w:t>Grindal</w:t>
                  </w:r>
                  <w:proofErr w:type="spellEnd"/>
                  <w:r w:rsidRPr="00CE2D0B">
                    <w:rPr>
                      <w:rFonts w:ascii="Georgia" w:eastAsia="Times New Roman" w:hAnsi="Georgia" w:cs="Times New Roman"/>
                      <w:sz w:val="20"/>
                      <w:szCs w:val="20"/>
                    </w:rPr>
                    <w:t xml:space="preserve">, bishop of London, in 1560, and besides much literary work he occasionally preached at Paul's Cross and other places. His work had rendered great service to the government, and he might have had high preferment in the Church but for the Puritan views which he consistently maintained. He held, however, the </w:t>
                  </w:r>
                  <w:proofErr w:type="spellStart"/>
                  <w:r w:rsidRPr="00CE2D0B">
                    <w:rPr>
                      <w:rFonts w:ascii="Georgia" w:eastAsia="Times New Roman" w:hAnsi="Georgia" w:cs="Times New Roman"/>
                      <w:sz w:val="20"/>
                      <w:szCs w:val="20"/>
                    </w:rPr>
                    <w:t>prebend</w:t>
                  </w:r>
                  <w:proofErr w:type="spellEnd"/>
                  <w:r w:rsidRPr="00CE2D0B">
                    <w:rPr>
                      <w:rFonts w:ascii="Georgia" w:eastAsia="Times New Roman" w:hAnsi="Georgia" w:cs="Times New Roman"/>
                      <w:sz w:val="20"/>
                      <w:szCs w:val="20"/>
                    </w:rPr>
                    <w:t xml:space="preserve"> of </w:t>
                  </w:r>
                  <w:proofErr w:type="spellStart"/>
                  <w:r w:rsidRPr="00CE2D0B">
                    <w:rPr>
                      <w:rFonts w:ascii="Georgia" w:eastAsia="Times New Roman" w:hAnsi="Georgia" w:cs="Times New Roman"/>
                      <w:sz w:val="20"/>
                      <w:szCs w:val="20"/>
                    </w:rPr>
                    <w:t>Shipton</w:t>
                  </w:r>
                  <w:proofErr w:type="spellEnd"/>
                  <w:r w:rsidRPr="00CE2D0B">
                    <w:rPr>
                      <w:rFonts w:ascii="Georgia" w:eastAsia="Times New Roman" w:hAnsi="Georgia" w:cs="Times New Roman"/>
                      <w:sz w:val="20"/>
                      <w:szCs w:val="20"/>
                    </w:rPr>
                    <w:t xml:space="preserve"> in Salisbury cathedral, and is said to have been for a short time rector of </w:t>
                  </w:r>
                  <w:proofErr w:type="spellStart"/>
                  <w:r w:rsidRPr="00CE2D0B">
                    <w:rPr>
                      <w:rFonts w:ascii="Georgia" w:eastAsia="Times New Roman" w:hAnsi="Georgia" w:cs="Times New Roman"/>
                      <w:sz w:val="20"/>
                      <w:szCs w:val="20"/>
                    </w:rPr>
                    <w:t>Cripplegate</w:t>
                  </w:r>
                  <w:proofErr w:type="spellEnd"/>
                  <w:r w:rsidRPr="00CE2D0B">
                    <w:rPr>
                      <w:rFonts w:ascii="Georgia" w:eastAsia="Times New Roman" w:hAnsi="Georgia" w:cs="Times New Roman"/>
                      <w:sz w:val="20"/>
                      <w:szCs w:val="20"/>
                    </w:rPr>
                    <w:t>.</w:t>
                  </w:r>
                  <w:r w:rsidRPr="00CE2D0B">
                    <w:rPr>
                      <w:rFonts w:ascii="Georgia" w:eastAsia="Times New Roman" w:hAnsi="Georgia" w:cs="Times New Roman"/>
                      <w:sz w:val="20"/>
                      <w:szCs w:val="20"/>
                    </w:rPr>
                    <w:br/>
                  </w:r>
                  <w:r w:rsidRPr="00CE2D0B">
                    <w:rPr>
                      <w:rFonts w:ascii="Georgia" w:eastAsia="Times New Roman" w:hAnsi="Georgia" w:cs="Times New Roman"/>
                      <w:sz w:val="20"/>
                      <w:szCs w:val="20"/>
                    </w:rPr>
                    <w:br/>
                    <w:t xml:space="preserve">In 1563 was issued from the press of John Day the first English edition of the </w:t>
                  </w:r>
                  <w:proofErr w:type="spellStart"/>
                  <w:r w:rsidRPr="00CE2D0B">
                    <w:rPr>
                      <w:rFonts w:ascii="Georgia" w:eastAsia="Times New Roman" w:hAnsi="Georgia" w:cs="Times New Roman"/>
                      <w:i/>
                      <w:iCs/>
                      <w:sz w:val="20"/>
                      <w:szCs w:val="20"/>
                    </w:rPr>
                    <w:t>Actes</w:t>
                  </w:r>
                  <w:proofErr w:type="spellEnd"/>
                  <w:r w:rsidRPr="00CE2D0B">
                    <w:rPr>
                      <w:rFonts w:ascii="Georgia" w:eastAsia="Times New Roman" w:hAnsi="Georgia" w:cs="Times New Roman"/>
                      <w:i/>
                      <w:iCs/>
                      <w:sz w:val="20"/>
                      <w:szCs w:val="20"/>
                    </w:rPr>
                    <w:t xml:space="preserve"> and Monuments of these latter and </w:t>
                  </w:r>
                  <w:proofErr w:type="spellStart"/>
                  <w:r w:rsidRPr="00CE2D0B">
                    <w:rPr>
                      <w:rFonts w:ascii="Georgia" w:eastAsia="Times New Roman" w:hAnsi="Georgia" w:cs="Times New Roman"/>
                      <w:i/>
                      <w:iCs/>
                      <w:sz w:val="20"/>
                      <w:szCs w:val="20"/>
                    </w:rPr>
                    <w:t>perillous</w:t>
                  </w:r>
                  <w:proofErr w:type="spellEnd"/>
                  <w:r w:rsidRPr="00CE2D0B">
                    <w:rPr>
                      <w:rFonts w:ascii="Georgia" w:eastAsia="Times New Roman" w:hAnsi="Georgia" w:cs="Times New Roman"/>
                      <w:i/>
                      <w:iCs/>
                      <w:sz w:val="20"/>
                      <w:szCs w:val="20"/>
                    </w:rPr>
                    <w:t xml:space="preserve"> </w:t>
                  </w:r>
                  <w:proofErr w:type="spellStart"/>
                  <w:r w:rsidRPr="00CE2D0B">
                    <w:rPr>
                      <w:rFonts w:ascii="Georgia" w:eastAsia="Times New Roman" w:hAnsi="Georgia" w:cs="Times New Roman"/>
                      <w:i/>
                      <w:iCs/>
                      <w:sz w:val="20"/>
                      <w:szCs w:val="20"/>
                    </w:rPr>
                    <w:t>Dayes</w:t>
                  </w:r>
                  <w:proofErr w:type="spellEnd"/>
                  <w:r w:rsidRPr="00CE2D0B">
                    <w:rPr>
                      <w:rFonts w:ascii="Georgia" w:eastAsia="Times New Roman" w:hAnsi="Georgia" w:cs="Times New Roman"/>
                      <w:i/>
                      <w:iCs/>
                      <w:sz w:val="20"/>
                      <w:szCs w:val="20"/>
                    </w:rPr>
                    <w:t xml:space="preserve">, touching matters of the Church, wherein are comprehended and described the great Persecution and horrible Troubles that have been wrought and </w:t>
                  </w:r>
                  <w:proofErr w:type="spellStart"/>
                  <w:r w:rsidRPr="00CE2D0B">
                    <w:rPr>
                      <w:rFonts w:ascii="Georgia" w:eastAsia="Times New Roman" w:hAnsi="Georgia" w:cs="Times New Roman"/>
                      <w:i/>
                      <w:iCs/>
                      <w:sz w:val="20"/>
                      <w:szCs w:val="20"/>
                    </w:rPr>
                    <w:t>practised</w:t>
                  </w:r>
                  <w:proofErr w:type="spellEnd"/>
                  <w:r w:rsidRPr="00CE2D0B">
                    <w:rPr>
                      <w:rFonts w:ascii="Georgia" w:eastAsia="Times New Roman" w:hAnsi="Georgia" w:cs="Times New Roman"/>
                      <w:i/>
                      <w:iCs/>
                      <w:sz w:val="20"/>
                      <w:szCs w:val="20"/>
                    </w:rPr>
                    <w:t xml:space="preserve"> by the </w:t>
                  </w:r>
                  <w:proofErr w:type="spellStart"/>
                  <w:r w:rsidRPr="00CE2D0B">
                    <w:rPr>
                      <w:rFonts w:ascii="Georgia" w:eastAsia="Times New Roman" w:hAnsi="Georgia" w:cs="Times New Roman"/>
                      <w:i/>
                      <w:iCs/>
                      <w:sz w:val="20"/>
                      <w:szCs w:val="20"/>
                    </w:rPr>
                    <w:t>Romishe</w:t>
                  </w:r>
                  <w:proofErr w:type="spellEnd"/>
                  <w:r w:rsidRPr="00CE2D0B">
                    <w:rPr>
                      <w:rFonts w:ascii="Georgia" w:eastAsia="Times New Roman" w:hAnsi="Georgia" w:cs="Times New Roman"/>
                      <w:i/>
                      <w:iCs/>
                      <w:sz w:val="20"/>
                      <w:szCs w:val="20"/>
                    </w:rPr>
                    <w:t xml:space="preserve"> Prelates, </w:t>
                  </w:r>
                  <w:proofErr w:type="spellStart"/>
                  <w:r w:rsidRPr="00CE2D0B">
                    <w:rPr>
                      <w:rFonts w:ascii="Georgia" w:eastAsia="Times New Roman" w:hAnsi="Georgia" w:cs="Times New Roman"/>
                      <w:i/>
                      <w:iCs/>
                      <w:sz w:val="20"/>
                      <w:szCs w:val="20"/>
                    </w:rPr>
                    <w:t>speciallye</w:t>
                  </w:r>
                  <w:proofErr w:type="spellEnd"/>
                  <w:r w:rsidRPr="00CE2D0B">
                    <w:rPr>
                      <w:rFonts w:ascii="Georgia" w:eastAsia="Times New Roman" w:hAnsi="Georgia" w:cs="Times New Roman"/>
                      <w:i/>
                      <w:iCs/>
                      <w:sz w:val="20"/>
                      <w:szCs w:val="20"/>
                    </w:rPr>
                    <w:t xml:space="preserve"> in this </w:t>
                  </w:r>
                  <w:proofErr w:type="spellStart"/>
                  <w:r w:rsidRPr="00CE2D0B">
                    <w:rPr>
                      <w:rFonts w:ascii="Georgia" w:eastAsia="Times New Roman" w:hAnsi="Georgia" w:cs="Times New Roman"/>
                      <w:i/>
                      <w:iCs/>
                      <w:sz w:val="20"/>
                      <w:szCs w:val="20"/>
                    </w:rPr>
                    <w:t>Realme</w:t>
                  </w:r>
                  <w:proofErr w:type="spellEnd"/>
                  <w:r w:rsidRPr="00CE2D0B">
                    <w:rPr>
                      <w:rFonts w:ascii="Georgia" w:eastAsia="Times New Roman" w:hAnsi="Georgia" w:cs="Times New Roman"/>
                      <w:i/>
                      <w:iCs/>
                      <w:sz w:val="20"/>
                      <w:szCs w:val="20"/>
                    </w:rPr>
                    <w:t xml:space="preserve"> of England and Scotland, from the </w:t>
                  </w:r>
                  <w:proofErr w:type="spellStart"/>
                  <w:r w:rsidRPr="00CE2D0B">
                    <w:rPr>
                      <w:rFonts w:ascii="Georgia" w:eastAsia="Times New Roman" w:hAnsi="Georgia" w:cs="Times New Roman"/>
                      <w:i/>
                      <w:iCs/>
                      <w:sz w:val="20"/>
                      <w:szCs w:val="20"/>
                    </w:rPr>
                    <w:t>yeare</w:t>
                  </w:r>
                  <w:proofErr w:type="spellEnd"/>
                  <w:r w:rsidRPr="00CE2D0B">
                    <w:rPr>
                      <w:rFonts w:ascii="Georgia" w:eastAsia="Times New Roman" w:hAnsi="Georgia" w:cs="Times New Roman"/>
                      <w:i/>
                      <w:iCs/>
                      <w:sz w:val="20"/>
                      <w:szCs w:val="20"/>
                    </w:rPr>
                    <w:t xml:space="preserve"> of our </w:t>
                  </w:r>
                  <w:proofErr w:type="spellStart"/>
                  <w:r w:rsidRPr="00CE2D0B">
                    <w:rPr>
                      <w:rFonts w:ascii="Georgia" w:eastAsia="Times New Roman" w:hAnsi="Georgia" w:cs="Times New Roman"/>
                      <w:i/>
                      <w:iCs/>
                      <w:sz w:val="20"/>
                      <w:szCs w:val="20"/>
                    </w:rPr>
                    <w:t>Lorde</w:t>
                  </w:r>
                  <w:proofErr w:type="spellEnd"/>
                  <w:r w:rsidRPr="00CE2D0B">
                    <w:rPr>
                      <w:rFonts w:ascii="Georgia" w:eastAsia="Times New Roman" w:hAnsi="Georgia" w:cs="Times New Roman"/>
                      <w:i/>
                      <w:iCs/>
                      <w:sz w:val="20"/>
                      <w:szCs w:val="20"/>
                    </w:rPr>
                    <w:t xml:space="preserve"> a </w:t>
                  </w:r>
                  <w:proofErr w:type="spellStart"/>
                  <w:r w:rsidRPr="00CE2D0B">
                    <w:rPr>
                      <w:rFonts w:ascii="Georgia" w:eastAsia="Times New Roman" w:hAnsi="Georgia" w:cs="Times New Roman"/>
                      <w:i/>
                      <w:iCs/>
                      <w:sz w:val="20"/>
                      <w:szCs w:val="20"/>
                    </w:rPr>
                    <w:t>thousande</w:t>
                  </w:r>
                  <w:proofErr w:type="spellEnd"/>
                  <w:r w:rsidRPr="00CE2D0B">
                    <w:rPr>
                      <w:rFonts w:ascii="Georgia" w:eastAsia="Times New Roman" w:hAnsi="Georgia" w:cs="Times New Roman"/>
                      <w:i/>
                      <w:iCs/>
                      <w:sz w:val="20"/>
                      <w:szCs w:val="20"/>
                    </w:rPr>
                    <w:t xml:space="preserve"> to the time now present. Gathered and collected according to the true Copies and </w:t>
                  </w:r>
                  <w:proofErr w:type="spellStart"/>
                  <w:r w:rsidRPr="00CE2D0B">
                    <w:rPr>
                      <w:rFonts w:ascii="Georgia" w:eastAsia="Times New Roman" w:hAnsi="Georgia" w:cs="Times New Roman"/>
                      <w:i/>
                      <w:iCs/>
                      <w:sz w:val="20"/>
                      <w:szCs w:val="20"/>
                    </w:rPr>
                    <w:t>Wrytinges</w:t>
                  </w:r>
                  <w:proofErr w:type="spellEnd"/>
                  <w:r w:rsidRPr="00CE2D0B">
                    <w:rPr>
                      <w:rFonts w:ascii="Georgia" w:eastAsia="Times New Roman" w:hAnsi="Georgia" w:cs="Times New Roman"/>
                      <w:i/>
                      <w:iCs/>
                      <w:sz w:val="20"/>
                      <w:szCs w:val="20"/>
                    </w:rPr>
                    <w:t xml:space="preserve"> </w:t>
                  </w:r>
                  <w:proofErr w:type="spellStart"/>
                  <w:r w:rsidRPr="00CE2D0B">
                    <w:rPr>
                      <w:rFonts w:ascii="Georgia" w:eastAsia="Times New Roman" w:hAnsi="Georgia" w:cs="Times New Roman"/>
                      <w:i/>
                      <w:iCs/>
                      <w:sz w:val="20"/>
                      <w:szCs w:val="20"/>
                    </w:rPr>
                    <w:t>certificatorie</w:t>
                  </w:r>
                  <w:proofErr w:type="spellEnd"/>
                  <w:r w:rsidRPr="00CE2D0B">
                    <w:rPr>
                      <w:rFonts w:ascii="Georgia" w:eastAsia="Times New Roman" w:hAnsi="Georgia" w:cs="Times New Roman"/>
                      <w:i/>
                      <w:iCs/>
                      <w:sz w:val="20"/>
                      <w:szCs w:val="20"/>
                    </w:rPr>
                    <w:t xml:space="preserve"> as well of the Parties themselves that Suffered, as also out of the Bishop's Registers, which were the Doers thereof, by John Foxe, commonly known as the Book of Martyrs</w:t>
                  </w:r>
                  <w:r w:rsidRPr="00CE2D0B">
                    <w:rPr>
                      <w:rFonts w:ascii="Georgia" w:eastAsia="Times New Roman" w:hAnsi="Georgia" w:cs="Times New Roman"/>
                      <w:sz w:val="20"/>
                      <w:szCs w:val="20"/>
                    </w:rPr>
                    <w:t>. Several gross errors which had appeared in the Latin version, and had been since exposed, were corrected in this edition.</w:t>
                  </w:r>
                  <w:r w:rsidRPr="00CE2D0B">
                    <w:rPr>
                      <w:rFonts w:ascii="Georgia" w:eastAsia="Times New Roman" w:hAnsi="Georgia" w:cs="Times New Roman"/>
                      <w:sz w:val="20"/>
                      <w:szCs w:val="20"/>
                    </w:rPr>
                    <w:br/>
                  </w:r>
                  <w:r w:rsidRPr="00CE2D0B">
                    <w:rPr>
                      <w:rFonts w:ascii="Georgia" w:eastAsia="Times New Roman" w:hAnsi="Georgia" w:cs="Times New Roman"/>
                      <w:sz w:val="20"/>
                      <w:szCs w:val="20"/>
                    </w:rPr>
                    <w:br/>
                    <w:t xml:space="preserve">Its popularity was immense and signal. The Marian persecution was still fresh in men's minds, and the graphic narrative intensified in its numerous readers the fierce hatred of Spain and of the Inquisition which was one of the master passions of the reign. Nor was its influence transient. For generations the popular conception of Roman Catholicism was derived from its bitter pages. Its accuracy was immediately attacked by Catholic writers, notably in the </w:t>
                  </w:r>
                  <w:proofErr w:type="spellStart"/>
                  <w:r w:rsidRPr="00CE2D0B">
                    <w:rPr>
                      <w:rFonts w:ascii="Georgia" w:eastAsia="Times New Roman" w:hAnsi="Georgia" w:cs="Times New Roman"/>
                      <w:i/>
                      <w:iCs/>
                      <w:sz w:val="20"/>
                      <w:szCs w:val="20"/>
                    </w:rPr>
                    <w:t>Dialogi</w:t>
                  </w:r>
                  <w:proofErr w:type="spellEnd"/>
                  <w:r w:rsidRPr="00CE2D0B">
                    <w:rPr>
                      <w:rFonts w:ascii="Georgia" w:eastAsia="Times New Roman" w:hAnsi="Georgia" w:cs="Times New Roman"/>
                      <w:i/>
                      <w:iCs/>
                      <w:sz w:val="20"/>
                      <w:szCs w:val="20"/>
                    </w:rPr>
                    <w:t xml:space="preserve"> sex</w:t>
                  </w:r>
                  <w:r w:rsidRPr="00CE2D0B">
                    <w:rPr>
                      <w:rFonts w:ascii="Georgia" w:eastAsia="Times New Roman" w:hAnsi="Georgia" w:cs="Times New Roman"/>
                      <w:sz w:val="20"/>
                      <w:szCs w:val="20"/>
                    </w:rPr>
                    <w:t xml:space="preserve"> (1566), nominally from the pen of Alan Cope, but in reality by Nicholas </w:t>
                  </w:r>
                  <w:proofErr w:type="spellStart"/>
                  <w:r w:rsidRPr="00CE2D0B">
                    <w:rPr>
                      <w:rFonts w:ascii="Georgia" w:eastAsia="Times New Roman" w:hAnsi="Georgia" w:cs="Times New Roman"/>
                      <w:sz w:val="20"/>
                      <w:szCs w:val="20"/>
                    </w:rPr>
                    <w:t>Harpsfield</w:t>
                  </w:r>
                  <w:proofErr w:type="spellEnd"/>
                  <w:r w:rsidRPr="00CE2D0B">
                    <w:rPr>
                      <w:rFonts w:ascii="Georgia" w:eastAsia="Times New Roman" w:hAnsi="Georgia" w:cs="Times New Roman"/>
                      <w:sz w:val="20"/>
                      <w:szCs w:val="20"/>
                    </w:rPr>
                    <w:t xml:space="preserve">, and by Robert Parsons in </w:t>
                  </w:r>
                  <w:r w:rsidRPr="00CE2D0B">
                    <w:rPr>
                      <w:rFonts w:ascii="Georgia" w:eastAsia="Times New Roman" w:hAnsi="Georgia" w:cs="Times New Roman"/>
                      <w:i/>
                      <w:iCs/>
                      <w:sz w:val="20"/>
                      <w:szCs w:val="20"/>
                    </w:rPr>
                    <w:t>Three Conversions of England</w:t>
                  </w:r>
                  <w:r w:rsidRPr="00CE2D0B">
                    <w:rPr>
                      <w:rFonts w:ascii="Georgia" w:eastAsia="Times New Roman" w:hAnsi="Georgia" w:cs="Times New Roman"/>
                      <w:sz w:val="20"/>
                      <w:szCs w:val="20"/>
                    </w:rPr>
                    <w:t xml:space="preserve"> (1570).</w:t>
                  </w:r>
                  <w:r w:rsidRPr="00CE2D0B">
                    <w:rPr>
                      <w:rFonts w:ascii="Georgia" w:eastAsia="Times New Roman" w:hAnsi="Georgia" w:cs="Times New Roman"/>
                      <w:sz w:val="20"/>
                      <w:szCs w:val="20"/>
                    </w:rPr>
                    <w:br/>
                  </w:r>
                  <w:r w:rsidRPr="00CE2D0B">
                    <w:rPr>
                      <w:rFonts w:ascii="Georgia" w:eastAsia="Times New Roman" w:hAnsi="Georgia" w:cs="Times New Roman"/>
                      <w:sz w:val="20"/>
                      <w:szCs w:val="20"/>
                    </w:rPr>
                    <w:br/>
                    <w:t xml:space="preserve">These criticisms induced Foxe to produce a second corrected edition, </w:t>
                  </w:r>
                  <w:r w:rsidRPr="00CE2D0B">
                    <w:rPr>
                      <w:rFonts w:ascii="Georgia" w:eastAsia="Times New Roman" w:hAnsi="Georgia" w:cs="Times New Roman"/>
                      <w:i/>
                      <w:iCs/>
                      <w:sz w:val="20"/>
                      <w:szCs w:val="20"/>
                    </w:rPr>
                    <w:t xml:space="preserve">Ecclesiastical History, </w:t>
                  </w:r>
                  <w:proofErr w:type="spellStart"/>
                  <w:r w:rsidRPr="00CE2D0B">
                    <w:rPr>
                      <w:rFonts w:ascii="Georgia" w:eastAsia="Times New Roman" w:hAnsi="Georgia" w:cs="Times New Roman"/>
                      <w:i/>
                      <w:iCs/>
                      <w:sz w:val="20"/>
                      <w:szCs w:val="20"/>
                    </w:rPr>
                    <w:t>contayning</w:t>
                  </w:r>
                  <w:proofErr w:type="spellEnd"/>
                  <w:r w:rsidRPr="00CE2D0B">
                    <w:rPr>
                      <w:rFonts w:ascii="Georgia" w:eastAsia="Times New Roman" w:hAnsi="Georgia" w:cs="Times New Roman"/>
                      <w:i/>
                      <w:iCs/>
                      <w:sz w:val="20"/>
                      <w:szCs w:val="20"/>
                    </w:rPr>
                    <w:t xml:space="preserve"> the </w:t>
                  </w:r>
                  <w:proofErr w:type="spellStart"/>
                  <w:r w:rsidRPr="00CE2D0B">
                    <w:rPr>
                      <w:rFonts w:ascii="Georgia" w:eastAsia="Times New Roman" w:hAnsi="Georgia" w:cs="Times New Roman"/>
                      <w:i/>
                      <w:iCs/>
                      <w:sz w:val="20"/>
                      <w:szCs w:val="20"/>
                    </w:rPr>
                    <w:t>Actes</w:t>
                  </w:r>
                  <w:proofErr w:type="spellEnd"/>
                  <w:r w:rsidRPr="00CE2D0B">
                    <w:rPr>
                      <w:rFonts w:ascii="Georgia" w:eastAsia="Times New Roman" w:hAnsi="Georgia" w:cs="Times New Roman"/>
                      <w:i/>
                      <w:iCs/>
                      <w:sz w:val="20"/>
                      <w:szCs w:val="20"/>
                    </w:rPr>
                    <w:t xml:space="preserve"> and Monuments of things passed in every </w:t>
                  </w:r>
                  <w:proofErr w:type="spellStart"/>
                  <w:r w:rsidRPr="00CE2D0B">
                    <w:rPr>
                      <w:rFonts w:ascii="Georgia" w:eastAsia="Times New Roman" w:hAnsi="Georgia" w:cs="Times New Roman"/>
                      <w:i/>
                      <w:iCs/>
                      <w:sz w:val="20"/>
                      <w:szCs w:val="20"/>
                    </w:rPr>
                    <w:t>kynges</w:t>
                  </w:r>
                  <w:proofErr w:type="spellEnd"/>
                  <w:r w:rsidRPr="00CE2D0B">
                    <w:rPr>
                      <w:rFonts w:ascii="Georgia" w:eastAsia="Times New Roman" w:hAnsi="Georgia" w:cs="Times New Roman"/>
                      <w:i/>
                      <w:iCs/>
                      <w:sz w:val="20"/>
                      <w:szCs w:val="20"/>
                    </w:rPr>
                    <w:t xml:space="preserve"> </w:t>
                  </w:r>
                  <w:proofErr w:type="spellStart"/>
                  <w:r w:rsidRPr="00CE2D0B">
                    <w:rPr>
                      <w:rFonts w:ascii="Georgia" w:eastAsia="Times New Roman" w:hAnsi="Georgia" w:cs="Times New Roman"/>
                      <w:i/>
                      <w:iCs/>
                      <w:sz w:val="20"/>
                      <w:szCs w:val="20"/>
                    </w:rPr>
                    <w:t>tyme</w:t>
                  </w:r>
                  <w:proofErr w:type="spellEnd"/>
                  <w:r w:rsidRPr="00CE2D0B">
                    <w:rPr>
                      <w:rFonts w:ascii="Georgia" w:eastAsia="Times New Roman" w:hAnsi="Georgia" w:cs="Times New Roman"/>
                      <w:sz w:val="20"/>
                      <w:szCs w:val="20"/>
                    </w:rPr>
                    <w:t>... in 1570, a copy of which was ordered by Convocation to be placed in every collegiate church. Foxe based his accounts of the martyrs partly on authentic documents and reports of the trials, and on statements received direct from the friends of the sufferers, but he was too hasty a worker and too violent a partisan to produce anything like a correct or impartial account of the mass of facts with which he had to deal. Anthony a Wood says that Foxe "believed and reported all that was told him, and there is every reason to suppose that he was purposely misled, and continually deceived by those whose interest it was to bring discredit on his work," but he admits that the book is a monument of his industry, his laborious research and his sincere piety.</w:t>
                  </w:r>
                  <w:r w:rsidRPr="00CE2D0B">
                    <w:rPr>
                      <w:rFonts w:ascii="Georgia" w:eastAsia="Times New Roman" w:hAnsi="Georgia" w:cs="Times New Roman"/>
                      <w:sz w:val="20"/>
                      <w:szCs w:val="20"/>
                    </w:rPr>
                    <w:br/>
                  </w:r>
                  <w:r w:rsidRPr="00CE2D0B">
                    <w:rPr>
                      <w:rFonts w:ascii="Georgia" w:eastAsia="Times New Roman" w:hAnsi="Georgia" w:cs="Times New Roman"/>
                      <w:sz w:val="20"/>
                      <w:szCs w:val="20"/>
                    </w:rPr>
                    <w:br/>
                  </w:r>
                  <w:r w:rsidRPr="00CE2D0B">
                    <w:rPr>
                      <w:rFonts w:ascii="Georgia" w:eastAsia="Times New Roman" w:hAnsi="Georgia" w:cs="Times New Roman"/>
                      <w:sz w:val="20"/>
                      <w:szCs w:val="20"/>
                    </w:rPr>
                    <w:lastRenderedPageBreak/>
                    <w:t xml:space="preserve">The gross blunders due to carelessness have often been exposed, and there is no doubt that Foxe was only too ready to believe evil of the Catholics, and he cannot always be exonerated from the charge of </w:t>
                  </w:r>
                  <w:proofErr w:type="spellStart"/>
                  <w:r w:rsidRPr="00CE2D0B">
                    <w:rPr>
                      <w:rFonts w:ascii="Georgia" w:eastAsia="Times New Roman" w:hAnsi="Georgia" w:cs="Times New Roman"/>
                      <w:sz w:val="20"/>
                      <w:szCs w:val="20"/>
                    </w:rPr>
                    <w:t>wilful</w:t>
                  </w:r>
                  <w:proofErr w:type="spellEnd"/>
                  <w:r w:rsidRPr="00CE2D0B">
                    <w:rPr>
                      <w:rFonts w:ascii="Georgia" w:eastAsia="Times New Roman" w:hAnsi="Georgia" w:cs="Times New Roman"/>
                      <w:sz w:val="20"/>
                      <w:szCs w:val="20"/>
                    </w:rPr>
                    <w:t xml:space="preserve"> falsification of evidence. It should, however, be remembered in his </w:t>
                  </w:r>
                  <w:proofErr w:type="spellStart"/>
                  <w:r w:rsidRPr="00CE2D0B">
                    <w:rPr>
                      <w:rFonts w:ascii="Georgia" w:eastAsia="Times New Roman" w:hAnsi="Georgia" w:cs="Times New Roman"/>
                      <w:sz w:val="20"/>
                      <w:szCs w:val="20"/>
                    </w:rPr>
                    <w:t>honour</w:t>
                  </w:r>
                  <w:proofErr w:type="spellEnd"/>
                  <w:r w:rsidRPr="00CE2D0B">
                    <w:rPr>
                      <w:rFonts w:ascii="Georgia" w:eastAsia="Times New Roman" w:hAnsi="Georgia" w:cs="Times New Roman"/>
                      <w:sz w:val="20"/>
                      <w:szCs w:val="20"/>
                    </w:rPr>
                    <w:t xml:space="preserve"> that his advocacy of religious toleration was far in advance of his day. He pleaded for the despised Dutch Anabaptists, and remonstrated with </w:t>
                  </w:r>
                  <w:hyperlink r:id="rId14" w:history="1">
                    <w:r w:rsidRPr="00CE2D0B">
                      <w:rPr>
                        <w:rFonts w:ascii="Georgia" w:eastAsia="Times New Roman" w:hAnsi="Georgia" w:cs="Times New Roman"/>
                        <w:color w:val="79535F"/>
                        <w:sz w:val="20"/>
                        <w:u w:val="single"/>
                      </w:rPr>
                      <w:t>John Knox</w:t>
                    </w:r>
                  </w:hyperlink>
                  <w:r w:rsidRPr="00CE2D0B">
                    <w:rPr>
                      <w:rFonts w:ascii="Georgia" w:eastAsia="Times New Roman" w:hAnsi="Georgia" w:cs="Times New Roman"/>
                      <w:sz w:val="20"/>
                      <w:szCs w:val="20"/>
                    </w:rPr>
                    <w:t xml:space="preserve"> on the </w:t>
                  </w:r>
                  <w:proofErr w:type="spellStart"/>
                  <w:r w:rsidRPr="00CE2D0B">
                    <w:rPr>
                      <w:rFonts w:ascii="Georgia" w:eastAsia="Times New Roman" w:hAnsi="Georgia" w:cs="Times New Roman"/>
                      <w:sz w:val="20"/>
                      <w:szCs w:val="20"/>
                    </w:rPr>
                    <w:t>rancour</w:t>
                  </w:r>
                  <w:proofErr w:type="spellEnd"/>
                  <w:r w:rsidRPr="00CE2D0B">
                    <w:rPr>
                      <w:rFonts w:ascii="Georgia" w:eastAsia="Times New Roman" w:hAnsi="Georgia" w:cs="Times New Roman"/>
                      <w:sz w:val="20"/>
                      <w:szCs w:val="20"/>
                    </w:rPr>
                    <w:t xml:space="preserve"> of his </w:t>
                  </w:r>
                  <w:r w:rsidRPr="00CE2D0B">
                    <w:rPr>
                      <w:rFonts w:ascii="Georgia" w:eastAsia="Times New Roman" w:hAnsi="Georgia" w:cs="Times New Roman"/>
                      <w:i/>
                      <w:iCs/>
                      <w:sz w:val="20"/>
                      <w:szCs w:val="20"/>
                    </w:rPr>
                    <w:t>First Blast of the Trumpet</w:t>
                  </w:r>
                  <w:r w:rsidRPr="00CE2D0B">
                    <w:rPr>
                      <w:rFonts w:ascii="Georgia" w:eastAsia="Times New Roman" w:hAnsi="Georgia" w:cs="Times New Roman"/>
                      <w:sz w:val="20"/>
                      <w:szCs w:val="20"/>
                    </w:rPr>
                    <w:t xml:space="preserve">. Foxe was one of the earliest students of Anglo-Saxon, and he and Day published an edition of the Saxon gospels under the patronage of </w:t>
                  </w:r>
                  <w:hyperlink r:id="rId15" w:history="1">
                    <w:r w:rsidRPr="00CE2D0B">
                      <w:rPr>
                        <w:rFonts w:ascii="Georgia" w:eastAsia="Times New Roman" w:hAnsi="Georgia" w:cs="Times New Roman"/>
                        <w:color w:val="79535F"/>
                        <w:sz w:val="20"/>
                        <w:u w:val="single"/>
                      </w:rPr>
                      <w:t>Archbishop Parker</w:t>
                    </w:r>
                  </w:hyperlink>
                  <w:r w:rsidRPr="00CE2D0B">
                    <w:rPr>
                      <w:rFonts w:ascii="Georgia" w:eastAsia="Times New Roman" w:hAnsi="Georgia" w:cs="Times New Roman"/>
                      <w:sz w:val="20"/>
                      <w:szCs w:val="20"/>
                    </w:rPr>
                    <w:t xml:space="preserve">. He died on the 18th of April 1587 and was buried at St Giles's, </w:t>
                  </w:r>
                  <w:proofErr w:type="spellStart"/>
                  <w:r w:rsidRPr="00CE2D0B">
                    <w:rPr>
                      <w:rFonts w:ascii="Georgia" w:eastAsia="Times New Roman" w:hAnsi="Georgia" w:cs="Times New Roman"/>
                      <w:sz w:val="20"/>
                      <w:szCs w:val="20"/>
                    </w:rPr>
                    <w:t>Cripplegate</w:t>
                  </w:r>
                  <w:proofErr w:type="spellEnd"/>
                  <w:r w:rsidRPr="00CE2D0B">
                    <w:rPr>
                      <w:rFonts w:ascii="Georgia" w:eastAsia="Times New Roman" w:hAnsi="Georgia" w:cs="Times New Roman"/>
                      <w:sz w:val="20"/>
                      <w:szCs w:val="20"/>
                    </w:rPr>
                    <w:t xml:space="preserve">. </w:t>
                  </w:r>
                </w:p>
              </w:tc>
            </w:tr>
          </w:tbl>
          <w:p w:rsidR="00CE2D0B" w:rsidRPr="00CE2D0B" w:rsidRDefault="00CE2D0B" w:rsidP="00CE2D0B">
            <w:pPr>
              <w:spacing w:after="240" w:line="240" w:lineRule="auto"/>
              <w:rPr>
                <w:rFonts w:ascii="Times New Roman" w:eastAsia="Times New Roman" w:hAnsi="Times New Roman" w:cs="Times New Roman"/>
                <w:sz w:val="24"/>
                <w:szCs w:val="24"/>
              </w:rPr>
            </w:pPr>
            <w:r w:rsidRPr="00CE2D0B">
              <w:rPr>
                <w:rFonts w:ascii="Times New Roman" w:eastAsia="Times New Roman" w:hAnsi="Times New Roman" w:cs="Times New Roman"/>
                <w:sz w:val="24"/>
                <w:szCs w:val="24"/>
              </w:rPr>
              <w:lastRenderedPageBreak/>
              <w:br/>
            </w:r>
            <w:r w:rsidRPr="00CE2D0B">
              <w:rPr>
                <w:rFonts w:ascii="Times New Roman" w:eastAsia="Times New Roman" w:hAnsi="Times New Roman" w:cs="Times New Roman"/>
                <w:sz w:val="24"/>
                <w:szCs w:val="24"/>
              </w:rPr>
              <w:br/>
            </w:r>
            <w:r w:rsidRPr="00CE2D0B">
              <w:rPr>
                <w:rFonts w:ascii="Georgia" w:eastAsia="Times New Roman" w:hAnsi="Georgia" w:cs="Times New Roman"/>
                <w:sz w:val="15"/>
                <w:szCs w:val="15"/>
              </w:rPr>
              <w:t>Excerpted from:</w:t>
            </w:r>
            <w:r w:rsidRPr="00CE2D0B">
              <w:rPr>
                <w:rFonts w:ascii="Georgia" w:eastAsia="Times New Roman" w:hAnsi="Georgia" w:cs="Times New Roman"/>
                <w:sz w:val="15"/>
                <w:szCs w:val="15"/>
              </w:rPr>
              <w:br/>
            </w:r>
            <w:r w:rsidRPr="00CE2D0B">
              <w:rPr>
                <w:rFonts w:ascii="Georgia" w:eastAsia="Times New Roman" w:hAnsi="Georgia" w:cs="Times New Roman"/>
                <w:sz w:val="15"/>
                <w:szCs w:val="15"/>
              </w:rPr>
              <w:br/>
              <w:t xml:space="preserve">Encyclopedia Britannica, 11th Ed. </w:t>
            </w:r>
            <w:proofErr w:type="spellStart"/>
            <w:r w:rsidRPr="00CE2D0B">
              <w:rPr>
                <w:rFonts w:ascii="Georgia" w:eastAsia="Times New Roman" w:hAnsi="Georgia" w:cs="Times New Roman"/>
                <w:sz w:val="15"/>
                <w:szCs w:val="15"/>
              </w:rPr>
              <w:t>Vol</w:t>
            </w:r>
            <w:proofErr w:type="spellEnd"/>
            <w:r w:rsidRPr="00CE2D0B">
              <w:rPr>
                <w:rFonts w:ascii="Georgia" w:eastAsia="Times New Roman" w:hAnsi="Georgia" w:cs="Times New Roman"/>
                <w:sz w:val="15"/>
                <w:szCs w:val="15"/>
              </w:rPr>
              <w:t xml:space="preserve"> X. </w:t>
            </w:r>
            <w:r w:rsidRPr="00CE2D0B">
              <w:rPr>
                <w:rFonts w:ascii="Georgia" w:eastAsia="Times New Roman" w:hAnsi="Georgia" w:cs="Times New Roman"/>
                <w:sz w:val="15"/>
                <w:szCs w:val="15"/>
              </w:rPr>
              <w:br/>
              <w:t>Cambridge: Cambridge University Press, 1910. 771.</w:t>
            </w:r>
          </w:p>
        </w:tc>
      </w:tr>
    </w:tbl>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2D0B"/>
    <w:rsid w:val="001A29FC"/>
    <w:rsid w:val="006C1EED"/>
    <w:rsid w:val="00954E47"/>
    <w:rsid w:val="00CE2D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2D0B"/>
    <w:rPr>
      <w:color w:val="79535F"/>
      <w:u w:val="single"/>
    </w:rPr>
  </w:style>
  <w:style w:type="paragraph" w:styleId="BalloonText">
    <w:name w:val="Balloon Text"/>
    <w:basedOn w:val="Normal"/>
    <w:link w:val="BalloonTextChar"/>
    <w:uiPriority w:val="99"/>
    <w:semiHidden/>
    <w:unhideWhenUsed/>
    <w:rsid w:val="00CE2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D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287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uminarium.org/renlit/henry.htm" TargetMode="External"/><Relationship Id="rId13" Type="http://schemas.openxmlformats.org/officeDocument/2006/relationships/hyperlink" Target="http://www.luminarium.org/encyclopedia/aylmer.htm" TargetMode="External"/><Relationship Id="rId3" Type="http://schemas.openxmlformats.org/officeDocument/2006/relationships/webSettings" Target="webSettings.xml"/><Relationship Id="rId7" Type="http://schemas.openxmlformats.org/officeDocument/2006/relationships/hyperlink" Target="http://www.luminarium.org/encyclopedia/ridley.htm" TargetMode="External"/><Relationship Id="rId12" Type="http://schemas.openxmlformats.org/officeDocument/2006/relationships/hyperlink" Target="http://www.luminarium.org/renlit/eliza.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hyperlink" Target="http://www.luminarium.org/encyclopedia/ladyjanegrey.htm" TargetMode="External"/><Relationship Id="rId5" Type="http://schemas.openxmlformats.org/officeDocument/2006/relationships/image" Target="media/image2.jpeg"/><Relationship Id="rId15" Type="http://schemas.openxmlformats.org/officeDocument/2006/relationships/hyperlink" Target="http://www.luminarium.org/encyclopedia/matthewparker.htm" TargetMode="External"/><Relationship Id="rId10" Type="http://schemas.openxmlformats.org/officeDocument/2006/relationships/hyperlink" Target="http://www.luminarium.org/encyclopedia/thomashoward2.htm" TargetMode="External"/><Relationship Id="rId4" Type="http://schemas.openxmlformats.org/officeDocument/2006/relationships/image" Target="media/image1.gif"/><Relationship Id="rId9" Type="http://schemas.openxmlformats.org/officeDocument/2006/relationships/hyperlink" Target="http://www.luminarium.org/encyclopedia/queenmary.htm" TargetMode="External"/><Relationship Id="rId14" Type="http://schemas.openxmlformats.org/officeDocument/2006/relationships/hyperlink" Target="http://www.luminarium.org/encyclopedia/kno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1188</Words>
  <Characters>6772</Characters>
  <Application>Microsoft Office Word</Application>
  <DocSecurity>0</DocSecurity>
  <Lines>56</Lines>
  <Paragraphs>15</Paragraphs>
  <ScaleCrop>false</ScaleCrop>
  <Company/>
  <LinksUpToDate>false</LinksUpToDate>
  <CharactersWithSpaces>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2011-08-27T17:50:00Z</dcterms:created>
  <dcterms:modified xsi:type="dcterms:W3CDTF">2011-08-27T17:50:00Z</dcterms:modified>
</cp:coreProperties>
</file>